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5AC3" w:rsidRPr="00CE0EAD" w:rsidRDefault="00F95AC3" w:rsidP="00F95AC3">
      <w:pPr>
        <w:pStyle w:val="Subtitle"/>
        <w:rPr>
          <w:rStyle w:val="BookTitle"/>
          <w:i w:val="0"/>
        </w:rPr>
      </w:pPr>
      <w:r w:rsidRPr="00CE0EAD">
        <w:rPr>
          <w:rStyle w:val="BookTitle"/>
          <w:i w:val="0"/>
        </w:rPr>
        <w:t>3GPP TSG RAN WG1 Meeting #</w:t>
      </w:r>
      <w:r>
        <w:rPr>
          <w:rStyle w:val="BookTitle"/>
          <w:i w:val="0"/>
        </w:rPr>
        <w:t>10</w:t>
      </w:r>
      <w:r w:rsidR="00C712E0">
        <w:rPr>
          <w:rStyle w:val="BookTitle"/>
          <w:i w:val="0"/>
        </w:rPr>
        <w:t>2</w:t>
      </w:r>
      <w:r>
        <w:rPr>
          <w:rStyle w:val="BookTitle"/>
          <w:i w:val="0"/>
        </w:rPr>
        <w:t xml:space="preserve">-e     </w:t>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00D94180">
        <w:rPr>
          <w:rStyle w:val="BookTitle"/>
          <w:i w:val="0"/>
        </w:rPr>
        <w:t xml:space="preserve">          </w:t>
      </w:r>
      <w:r w:rsidRPr="00CE0EAD">
        <w:rPr>
          <w:rStyle w:val="BookTitle"/>
          <w:i w:val="0"/>
        </w:rPr>
        <w:t>R1-</w:t>
      </w:r>
      <w:r w:rsidR="00CD37A9" w:rsidRPr="00CD37A9">
        <w:rPr>
          <w:rStyle w:val="BookTitle"/>
          <w:i w:val="0"/>
        </w:rPr>
        <w:t>200682</w:t>
      </w:r>
      <w:r w:rsidR="00CD37A9">
        <w:rPr>
          <w:rStyle w:val="BookTitle"/>
          <w:i w:val="0"/>
        </w:rPr>
        <w:t>5</w:t>
      </w:r>
      <w:bookmarkStart w:id="0" w:name="_GoBack"/>
      <w:bookmarkEnd w:id="0"/>
    </w:p>
    <w:p w:rsidR="00F95AC3" w:rsidRPr="00CE0EAD" w:rsidRDefault="00C712E0" w:rsidP="00F95AC3">
      <w:pPr>
        <w:pStyle w:val="Subtitle"/>
        <w:rPr>
          <w:rStyle w:val="BookTitle"/>
          <w:i w:val="0"/>
        </w:rPr>
      </w:pPr>
      <w:r>
        <w:rPr>
          <w:rStyle w:val="BookTitle"/>
          <w:i w:val="0"/>
        </w:rPr>
        <w:t>1</w:t>
      </w:r>
      <w:r w:rsidR="00E91B5F">
        <w:rPr>
          <w:rStyle w:val="BookTitle"/>
          <w:i w:val="0"/>
        </w:rPr>
        <w:t>7</w:t>
      </w:r>
      <w:r w:rsidR="00F95AC3" w:rsidRPr="00CE0EAD">
        <w:rPr>
          <w:rStyle w:val="BookTitle"/>
          <w:i w:val="0"/>
          <w:vertAlign w:val="superscript"/>
        </w:rPr>
        <w:t>th</w:t>
      </w:r>
      <w:r w:rsidR="00F95AC3" w:rsidRPr="00CE0EAD">
        <w:rPr>
          <w:rStyle w:val="BookTitle"/>
          <w:i w:val="0"/>
        </w:rPr>
        <w:t xml:space="preserve"> </w:t>
      </w:r>
      <w:r>
        <w:rPr>
          <w:rStyle w:val="BookTitle"/>
          <w:i w:val="0"/>
        </w:rPr>
        <w:t>Aug</w:t>
      </w:r>
      <w:r w:rsidR="00F95AC3" w:rsidRPr="00CE0EAD">
        <w:rPr>
          <w:rStyle w:val="BookTitle"/>
          <w:i w:val="0"/>
        </w:rPr>
        <w:t xml:space="preserve">– </w:t>
      </w:r>
      <w:r w:rsidR="00E91B5F">
        <w:rPr>
          <w:rStyle w:val="BookTitle"/>
          <w:i w:val="0"/>
        </w:rPr>
        <w:t>28</w:t>
      </w:r>
      <w:r w:rsidR="00F95AC3">
        <w:rPr>
          <w:rStyle w:val="BookTitle"/>
          <w:i w:val="0"/>
          <w:vertAlign w:val="superscript"/>
        </w:rPr>
        <w:t>th</w:t>
      </w:r>
      <w:r w:rsidR="00F95AC3" w:rsidRPr="00CE0EAD">
        <w:rPr>
          <w:rStyle w:val="BookTitle"/>
          <w:i w:val="0"/>
        </w:rPr>
        <w:t xml:space="preserve"> </w:t>
      </w:r>
      <w:r w:rsidR="00E91B5F">
        <w:rPr>
          <w:rStyle w:val="BookTitle"/>
          <w:i w:val="0"/>
        </w:rPr>
        <w:t>August</w:t>
      </w:r>
      <w:r w:rsidR="00F95AC3" w:rsidRPr="00CE0EAD">
        <w:rPr>
          <w:rStyle w:val="BookTitle"/>
          <w:i w:val="0"/>
        </w:rPr>
        <w:t xml:space="preserve"> 20</w:t>
      </w:r>
      <w:r w:rsidR="00F95AC3">
        <w:rPr>
          <w:rStyle w:val="BookTitle"/>
          <w:i w:val="0"/>
        </w:rPr>
        <w:t>20</w:t>
      </w:r>
    </w:p>
    <w:p w:rsidR="00806EAC" w:rsidRPr="002B4616" w:rsidRDefault="00806EAC" w:rsidP="00806EAC">
      <w:pPr>
        <w:pBdr>
          <w:top w:val="single" w:sz="4" w:space="1" w:color="auto"/>
          <w:bottom w:val="single" w:sz="4" w:space="1" w:color="auto"/>
        </w:pBdr>
        <w:rPr>
          <w:rStyle w:val="SubtitleChar"/>
        </w:rPr>
      </w:pPr>
      <w:r w:rsidRPr="00AF0340">
        <w:rPr>
          <w:rStyle w:val="BookTitle"/>
        </w:rPr>
        <w:t>Agenda Item:</w:t>
      </w:r>
      <w:r w:rsidRPr="00806EAC">
        <w:rPr>
          <w:rStyle w:val="IntenseReference"/>
        </w:rPr>
        <w:tab/>
      </w:r>
      <w:r w:rsidRPr="00806EAC">
        <w:rPr>
          <w:rStyle w:val="IntenseReference"/>
        </w:rPr>
        <w:tab/>
      </w:r>
      <w:r w:rsidR="00706194">
        <w:rPr>
          <w:rStyle w:val="SubtitleChar"/>
        </w:rPr>
        <w:t>8.10.1</w:t>
      </w:r>
    </w:p>
    <w:p w:rsidR="00806EAC" w:rsidRPr="00131C46" w:rsidRDefault="00806EAC" w:rsidP="00806EAC">
      <w:pPr>
        <w:pBdr>
          <w:top w:val="single" w:sz="4" w:space="1" w:color="auto"/>
          <w:bottom w:val="single" w:sz="4" w:space="1" w:color="auto"/>
        </w:pBdr>
        <w:rPr>
          <w:rStyle w:val="BookTitle"/>
        </w:rPr>
      </w:pPr>
      <w:r w:rsidRPr="00AF0340">
        <w:rPr>
          <w:rStyle w:val="BookTitle"/>
        </w:rPr>
        <w:t>Source:</w:t>
      </w:r>
      <w:r w:rsidRPr="00AF0340">
        <w:rPr>
          <w:rStyle w:val="BookTitle"/>
        </w:rPr>
        <w:tab/>
      </w:r>
      <w:r>
        <w:rPr>
          <w:rStyle w:val="IntenseReference"/>
        </w:rPr>
        <w:tab/>
      </w:r>
      <w:r>
        <w:rPr>
          <w:rStyle w:val="IntenseReference"/>
        </w:rPr>
        <w:tab/>
      </w:r>
      <w:r>
        <w:rPr>
          <w:rStyle w:val="IntenseReference"/>
        </w:rPr>
        <w:tab/>
      </w:r>
      <w:r w:rsidRPr="002B4616">
        <w:rPr>
          <w:rStyle w:val="SubtitleChar"/>
        </w:rPr>
        <w:t>Qualcomm Incorporated</w:t>
      </w:r>
    </w:p>
    <w:p w:rsidR="00806EAC" w:rsidRPr="002B4616" w:rsidRDefault="00806EAC" w:rsidP="00806EAC">
      <w:pPr>
        <w:pBdr>
          <w:top w:val="single" w:sz="4" w:space="1" w:color="auto"/>
          <w:bottom w:val="single" w:sz="4" w:space="1" w:color="auto"/>
        </w:pBdr>
        <w:rPr>
          <w:rStyle w:val="SubtitleChar"/>
        </w:rPr>
      </w:pPr>
      <w:r w:rsidRPr="00AF0340">
        <w:rPr>
          <w:rStyle w:val="BookTitle"/>
        </w:rPr>
        <w:t xml:space="preserve">Title: </w:t>
      </w:r>
      <w:r w:rsidRPr="00AF0340">
        <w:rPr>
          <w:rStyle w:val="BookTitle"/>
        </w:rPr>
        <w:tab/>
      </w:r>
      <w:r w:rsidRPr="00806EAC">
        <w:rPr>
          <w:rStyle w:val="IntenseReference"/>
        </w:rPr>
        <w:tab/>
      </w:r>
      <w:r w:rsidRPr="00806EAC">
        <w:rPr>
          <w:rStyle w:val="IntenseReference"/>
        </w:rPr>
        <w:tab/>
      </w:r>
      <w:r w:rsidRPr="00806EAC">
        <w:rPr>
          <w:rStyle w:val="IntenseReference"/>
        </w:rPr>
        <w:tab/>
      </w:r>
      <w:r w:rsidR="00AF0340">
        <w:rPr>
          <w:rStyle w:val="IntenseReference"/>
        </w:rPr>
        <w:tab/>
      </w:r>
      <w:r w:rsidR="00E03EA0">
        <w:rPr>
          <w:rStyle w:val="SubtitleChar"/>
        </w:rPr>
        <w:t>Re</w:t>
      </w:r>
      <w:r w:rsidR="00706194">
        <w:rPr>
          <w:rStyle w:val="SubtitleChar"/>
        </w:rPr>
        <w:t>source management for enhanced duplexing</w:t>
      </w:r>
    </w:p>
    <w:p w:rsidR="00806EAC" w:rsidRPr="002B4616" w:rsidRDefault="00806EAC" w:rsidP="00806EAC">
      <w:pPr>
        <w:pBdr>
          <w:top w:val="single" w:sz="4" w:space="1" w:color="auto"/>
          <w:bottom w:val="single" w:sz="4" w:space="1" w:color="auto"/>
        </w:pBdr>
        <w:rPr>
          <w:rStyle w:val="SubtitleChar"/>
        </w:rPr>
      </w:pPr>
      <w:r w:rsidRPr="00AF0340">
        <w:rPr>
          <w:rStyle w:val="BookTitle"/>
        </w:rPr>
        <w:t>Document for:</w:t>
      </w:r>
      <w:r w:rsidRPr="00806EAC">
        <w:rPr>
          <w:rStyle w:val="IntenseReference"/>
        </w:rPr>
        <w:tab/>
      </w:r>
      <w:r w:rsidR="00AF0340">
        <w:rPr>
          <w:rStyle w:val="IntenseReference"/>
        </w:rPr>
        <w:tab/>
      </w:r>
      <w:r w:rsidRPr="002B4616">
        <w:rPr>
          <w:rStyle w:val="SubtitleChar"/>
        </w:rPr>
        <w:t>Discussion and decision</w:t>
      </w:r>
    </w:p>
    <w:p w:rsidR="00806EAC" w:rsidRDefault="00806EAC" w:rsidP="00013C33">
      <w:pPr>
        <w:pStyle w:val="Heading3"/>
      </w:pPr>
      <w:r>
        <w:t>Introduction</w:t>
      </w:r>
    </w:p>
    <w:p w:rsidR="005A62B1" w:rsidRDefault="007D57E3" w:rsidP="00B65785">
      <w:r>
        <w:t xml:space="preserve">This contribution </w:t>
      </w:r>
      <w:r w:rsidR="00E856B6">
        <w:t xml:space="preserve">provides </w:t>
      </w:r>
      <w:r w:rsidR="006E52F1">
        <w:t>our</w:t>
      </w:r>
      <w:r w:rsidR="00E856B6">
        <w:t xml:space="preserve"> view on</w:t>
      </w:r>
      <w:r w:rsidR="00B65785">
        <w:t xml:space="preserve"> the</w:t>
      </w:r>
      <w:r w:rsidR="002A03A3">
        <w:t xml:space="preserve"> IAB resource management</w:t>
      </w:r>
      <w:r w:rsidR="00B65785">
        <w:t xml:space="preserve"> framework in the context of the Rel-17 IAB WID [1] objectives. Specifically, it summarizes the Rel-16 IAB resource management framework and it identifies the areas within the framework where enhancements might be needed to achieve in a more efficient way simultaneous operation (transmission or reception) of the IAB-MT and the IAN-DU of a given IAB-node. It is envisioned that in principle the Rel-17 IAB resource management framework is an incremental extension of the Rel-16 framework.</w:t>
      </w:r>
    </w:p>
    <w:p w:rsidR="00C476A7" w:rsidRDefault="005A62B1" w:rsidP="00C476A7">
      <w:pPr>
        <w:pStyle w:val="Heading3"/>
      </w:pPr>
      <w:bookmarkStart w:id="1" w:name="_Hlk32401284"/>
      <w:bookmarkStart w:id="2" w:name="_Hlk24102609"/>
      <w:r>
        <w:t>IAB resource management in Rel-16</w:t>
      </w:r>
    </w:p>
    <w:p w:rsidR="00C23008" w:rsidRDefault="009A3624" w:rsidP="00C23008">
      <w:r>
        <w:t>Rel-16 has defined a resource management framework to address the primary constraint of mutual interference between the IAB-MT and the IAB-DU, referred as the half-duplex constraint at the IAB-node. In essence, in Rel-16 the assumption is that in general an IAB-node is not capable of operating the IAB-MT and the IAB-DU at the same time, and hence methods to ensure time orthogonalization of the resources were introduced.</w:t>
      </w:r>
    </w:p>
    <w:p w:rsidR="005A62B1" w:rsidRDefault="005A62B1" w:rsidP="00C23008">
      <w:r>
        <w:t xml:space="preserve">The framework relies on the hierarchical structure of the IAB topology, whereby the IAB-DU of a node controls via scheduling the IAB-MT of a child node. As a result, the main aspect that had to be addressed is </w:t>
      </w:r>
      <w:r w:rsidR="00314A05">
        <w:t xml:space="preserve">time </w:t>
      </w:r>
      <w:r w:rsidR="004151A0">
        <w:t>division</w:t>
      </w:r>
      <w:r w:rsidR="00314A05">
        <w:t xml:space="preserve"> multiplexing of the IAB-DUs of adjacent connected IAB-nodes.</w:t>
      </w:r>
      <w:r w:rsidR="0072747A">
        <w:t xml:space="preserve"> This was achieved with the introduction of an additional attribute (beyond the D/F/U marking) for the IAB-DU resources, as summarized in </w:t>
      </w:r>
      <w:r w:rsidR="007A1AF7">
        <w:fldChar w:fldCharType="begin"/>
      </w:r>
      <w:r w:rsidR="007A1AF7">
        <w:instrText xml:space="preserve"> REF _Ref47540951 \h </w:instrText>
      </w:r>
      <w:r w:rsidR="007A1AF7">
        <w:fldChar w:fldCharType="separate"/>
      </w:r>
      <w:r w:rsidR="007A1AF7">
        <w:t xml:space="preserve">Table </w:t>
      </w:r>
      <w:r w:rsidR="007A1AF7">
        <w:rPr>
          <w:noProof/>
        </w:rPr>
        <w:t>1</w:t>
      </w:r>
      <w:r w:rsidR="007A1AF7">
        <w:fldChar w:fldCharType="end"/>
      </w:r>
      <w:r w:rsidR="0072747A">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7A1AF7" w:rsidTr="007A1AF7">
        <w:tc>
          <w:tcPr>
            <w:tcW w:w="9629" w:type="dxa"/>
          </w:tcPr>
          <w:p w:rsidR="007A1AF7" w:rsidRDefault="007A1AF7" w:rsidP="00C23008">
            <w:r>
              <w:rPr>
                <w:noProof/>
              </w:rPr>
              <w:drawing>
                <wp:inline distT="0" distB="0" distL="0" distR="0" wp14:anchorId="7E6EEFFC">
                  <wp:extent cx="5815584" cy="27157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5584" cy="2715768"/>
                          </a:xfrm>
                          <a:prstGeom prst="rect">
                            <a:avLst/>
                          </a:prstGeom>
                          <a:noFill/>
                        </pic:spPr>
                      </pic:pic>
                    </a:graphicData>
                  </a:graphic>
                </wp:inline>
              </w:drawing>
            </w:r>
          </w:p>
        </w:tc>
      </w:tr>
    </w:tbl>
    <w:p w:rsidR="0072747A" w:rsidRDefault="007A1AF7" w:rsidP="007A1AF7">
      <w:pPr>
        <w:pStyle w:val="Caption"/>
        <w:jc w:val="center"/>
      </w:pPr>
      <w:bookmarkStart w:id="3" w:name="_Ref47540951"/>
      <w:r>
        <w:t xml:space="preserve">Table </w:t>
      </w:r>
      <w:r>
        <w:fldChar w:fldCharType="begin"/>
      </w:r>
      <w:r>
        <w:instrText xml:space="preserve"> SEQ Table \* ARABIC </w:instrText>
      </w:r>
      <w:r>
        <w:fldChar w:fldCharType="separate"/>
      </w:r>
      <w:r>
        <w:rPr>
          <w:noProof/>
        </w:rPr>
        <w:t>1</w:t>
      </w:r>
      <w:r>
        <w:fldChar w:fldCharType="end"/>
      </w:r>
      <w:bookmarkEnd w:id="3"/>
      <w:r>
        <w:t xml:space="preserve"> – IAB-DU resource attributes</w:t>
      </w:r>
    </w:p>
    <w:p w:rsidR="009A3624" w:rsidRDefault="00274E14" w:rsidP="00C23008">
      <w:r>
        <w:t xml:space="preserve">Using these </w:t>
      </w:r>
      <w:r w:rsidR="00B76C88">
        <w:t>attributes,</w:t>
      </w:r>
      <w:r>
        <w:t xml:space="preserve"> the IAB-DU is provided a semi-static resource configuration by the CU which includes the D/F/U markings as well as the H/S/NA attributes. The structure of this resource configuration takes elements from the structure of the TDD common and TDD dedicated configurations, as well of the dynamic SFI (DCI format 2_0) slot formats. The granularity for the H/S/NA is per D/F/U resource type. The </w:t>
      </w:r>
      <w:r w:rsidR="00E856B6">
        <w:t>concept</w:t>
      </w:r>
      <w:r>
        <w:t xml:space="preserve"> is depicted in </w:t>
      </w:r>
      <w:r w:rsidR="00122A1C">
        <w:fldChar w:fldCharType="begin"/>
      </w:r>
      <w:r w:rsidR="00122A1C">
        <w:instrText xml:space="preserve"> REF _Ref47545892 \h </w:instrText>
      </w:r>
      <w:r w:rsidR="00122A1C">
        <w:fldChar w:fldCharType="separate"/>
      </w:r>
      <w:r w:rsidR="00122A1C">
        <w:t xml:space="preserve">Figure </w:t>
      </w:r>
      <w:r w:rsidR="00122A1C">
        <w:rPr>
          <w:noProof/>
        </w:rPr>
        <w:t>1</w:t>
      </w:r>
      <w:r w:rsidR="00122A1C">
        <w:fldChar w:fldCharType="end"/>
      </w:r>
      <w:r>
        <w:t>.</w:t>
      </w:r>
    </w:p>
    <w:p w:rsidR="00050DEB" w:rsidRDefault="00050DEB" w:rsidP="00C23008"/>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050DEB" w:rsidTr="00E434C8">
        <w:tc>
          <w:tcPr>
            <w:tcW w:w="9629" w:type="dxa"/>
          </w:tcPr>
          <w:p w:rsidR="00050DEB" w:rsidRDefault="00050DEB" w:rsidP="00C23008">
            <w:r>
              <w:rPr>
                <w:noProof/>
              </w:rPr>
              <w:lastRenderedPageBreak/>
              <w:drawing>
                <wp:inline distT="0" distB="0" distL="0" distR="0" wp14:anchorId="2DA0B88B">
                  <wp:extent cx="5989320" cy="3694176"/>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89320" cy="3694176"/>
                          </a:xfrm>
                          <a:prstGeom prst="rect">
                            <a:avLst/>
                          </a:prstGeom>
                          <a:noFill/>
                        </pic:spPr>
                      </pic:pic>
                    </a:graphicData>
                  </a:graphic>
                </wp:inline>
              </w:drawing>
            </w:r>
          </w:p>
        </w:tc>
      </w:tr>
    </w:tbl>
    <w:p w:rsidR="00050DEB" w:rsidRDefault="00050DEB" w:rsidP="00050DEB">
      <w:pPr>
        <w:pStyle w:val="Caption"/>
        <w:jc w:val="center"/>
      </w:pPr>
      <w:bookmarkStart w:id="4" w:name="_Ref47545892"/>
      <w:r>
        <w:t xml:space="preserve">Figure </w:t>
      </w:r>
      <w:r>
        <w:fldChar w:fldCharType="begin"/>
      </w:r>
      <w:r>
        <w:instrText xml:space="preserve"> SEQ Figure \* ARABIC </w:instrText>
      </w:r>
      <w:r>
        <w:fldChar w:fldCharType="separate"/>
      </w:r>
      <w:r w:rsidR="006F55F7">
        <w:rPr>
          <w:noProof/>
        </w:rPr>
        <w:t>1</w:t>
      </w:r>
      <w:r>
        <w:fldChar w:fldCharType="end"/>
      </w:r>
      <w:bookmarkEnd w:id="4"/>
      <w:r>
        <w:t>- IAB-DU semi-static resource configuration</w:t>
      </w:r>
    </w:p>
    <w:p w:rsidR="002661A0" w:rsidRDefault="00D509CC" w:rsidP="00050DEB">
      <w:r>
        <w:t>Using the H/S/NA attributes the IAB-DUs of two adjacent connected nodes (a parent – child pair) can be configured</w:t>
      </w:r>
      <w:r w:rsidR="00A12FD1">
        <w:t xml:space="preserve"> in a time </w:t>
      </w:r>
      <w:r w:rsidR="00B76C88">
        <w:t>orthogonal</w:t>
      </w:r>
      <w:r w:rsidR="00A12FD1">
        <w:t xml:space="preserve"> way, e.g. when the parent IAB-DU is configured as H, the child IAB-DU is configured as NA or S. When S resources are treated as NA, the resulting resource usage corresponds to the </w:t>
      </w:r>
      <w:r w:rsidR="004D3D3F">
        <w:t xml:space="preserve">centralized </w:t>
      </w:r>
      <w:r w:rsidR="00A12FD1">
        <w:t xml:space="preserve">semi-static time domain partitioning </w:t>
      </w:r>
      <w:r w:rsidR="004D3D3F">
        <w:t>of resources across adjacent links</w:t>
      </w:r>
      <w:r w:rsidR="00F45BE4">
        <w:t xml:space="preserve">, with a </w:t>
      </w:r>
      <w:r w:rsidR="00B76C88">
        <w:t>corresponding</w:t>
      </w:r>
      <w:r w:rsidR="002661A0">
        <w:t xml:space="preserve"> baseline partitioning of the flow capacity </w:t>
      </w:r>
      <w:r w:rsidR="00B76C88">
        <w:t>among</w:t>
      </w:r>
      <w:r w:rsidR="002661A0">
        <w:t xml:space="preserve"> adjacent links</w:t>
      </w:r>
      <w:r w:rsidR="004D3D3F">
        <w:t xml:space="preserve">. </w:t>
      </w:r>
      <w:r w:rsidR="002661A0">
        <w:t xml:space="preserve">This is illustrated in </w:t>
      </w:r>
      <w:r w:rsidR="003B0187">
        <w:fldChar w:fldCharType="begin"/>
      </w:r>
      <w:r w:rsidR="003B0187">
        <w:instrText xml:space="preserve"> REF _Ref47554491 \h </w:instrText>
      </w:r>
      <w:r w:rsidR="003B0187">
        <w:fldChar w:fldCharType="separate"/>
      </w:r>
      <w:r w:rsidR="003B0187">
        <w:t xml:space="preserve">Figure </w:t>
      </w:r>
      <w:r w:rsidR="003B0187">
        <w:rPr>
          <w:noProof/>
        </w:rPr>
        <w:t>2</w:t>
      </w:r>
      <w:r w:rsidR="003B0187">
        <w:fldChar w:fldCharType="end"/>
      </w:r>
      <w:r w:rsidR="002661A0">
        <w:t>–(a).</w:t>
      </w:r>
    </w:p>
    <w:p w:rsidR="00050DEB" w:rsidRDefault="004D3D3F" w:rsidP="00050DEB">
      <w:r>
        <w:t>The introduction of S resources in the configuration allows however to apply dynamic localized adjustments, controlled by the IAB-nodes. Specifically, a S resource can be used by an IAB-DU when the parent IAB-node explicitly releases the S resource (via</w:t>
      </w:r>
      <w:r w:rsidR="002661A0">
        <w:t xml:space="preserve"> an Availability Indicator sent with</w:t>
      </w:r>
      <w:r>
        <w:t xml:space="preserve"> DCI format 2_5) or by an implicit determination of no impact to the IAB-MT. This enables to adjust the flo</w:t>
      </w:r>
      <w:r w:rsidR="00F45BE4">
        <w:t xml:space="preserve">w capacity amongst adjacent links in a more dynamic fashion, as illustrated in </w:t>
      </w:r>
      <w:r w:rsidR="003B0187">
        <w:fldChar w:fldCharType="begin"/>
      </w:r>
      <w:r w:rsidR="003B0187">
        <w:instrText xml:space="preserve"> REF _Ref47554491 \h </w:instrText>
      </w:r>
      <w:r w:rsidR="003B0187">
        <w:fldChar w:fldCharType="separate"/>
      </w:r>
      <w:r w:rsidR="003B0187">
        <w:t xml:space="preserve">Figure </w:t>
      </w:r>
      <w:r w:rsidR="003B0187">
        <w:rPr>
          <w:noProof/>
        </w:rPr>
        <w:t>2</w:t>
      </w:r>
      <w:r w:rsidR="003B0187">
        <w:fldChar w:fldCharType="end"/>
      </w:r>
      <w:r w:rsidR="002661A0">
        <w:t>–(b)</w:t>
      </w:r>
      <w:r w:rsidR="00F45BE4">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2661A0" w:rsidTr="00E434C8">
        <w:tc>
          <w:tcPr>
            <w:tcW w:w="9629" w:type="dxa"/>
          </w:tcPr>
          <w:p w:rsidR="002661A0" w:rsidRDefault="002661A0" w:rsidP="00050DEB">
            <w:r>
              <w:rPr>
                <w:noProof/>
              </w:rPr>
              <w:drawing>
                <wp:inline distT="0" distB="0" distL="0" distR="0" wp14:anchorId="30BBA395">
                  <wp:extent cx="5907024" cy="253288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07024" cy="2532888"/>
                          </a:xfrm>
                          <a:prstGeom prst="rect">
                            <a:avLst/>
                          </a:prstGeom>
                          <a:noFill/>
                        </pic:spPr>
                      </pic:pic>
                    </a:graphicData>
                  </a:graphic>
                </wp:inline>
              </w:drawing>
            </w:r>
          </w:p>
        </w:tc>
      </w:tr>
    </w:tbl>
    <w:p w:rsidR="002661A0" w:rsidRDefault="002661A0" w:rsidP="002661A0">
      <w:pPr>
        <w:pStyle w:val="Caption"/>
        <w:jc w:val="center"/>
      </w:pPr>
      <w:bookmarkStart w:id="5" w:name="_Ref47554491"/>
      <w:r>
        <w:t xml:space="preserve">Figure </w:t>
      </w:r>
      <w:r>
        <w:fldChar w:fldCharType="begin"/>
      </w:r>
      <w:r>
        <w:instrText xml:space="preserve"> SEQ Figure \* ARABIC </w:instrText>
      </w:r>
      <w:r>
        <w:fldChar w:fldCharType="separate"/>
      </w:r>
      <w:r w:rsidR="006F55F7">
        <w:rPr>
          <w:noProof/>
        </w:rPr>
        <w:t>2</w:t>
      </w:r>
      <w:r>
        <w:fldChar w:fldCharType="end"/>
      </w:r>
      <w:bookmarkEnd w:id="5"/>
      <w:r>
        <w:t xml:space="preserve"> – Static and dynamic flows amongst adjacent links</w:t>
      </w:r>
    </w:p>
    <w:p w:rsidR="00680C36" w:rsidRDefault="00E1502E" w:rsidP="00680C36">
      <w:r>
        <w:t>While the IAB-DU resource configuration framework allows to orthogonalize in time the resources for adjacent links, in general the CU is not precluded from allowing some resource conflicts. There are two types of conflicts:</w:t>
      </w:r>
    </w:p>
    <w:p w:rsidR="00E1502E" w:rsidRDefault="00D43A83" w:rsidP="00E1502E">
      <w:pPr>
        <w:pStyle w:val="ListParagraph"/>
        <w:numPr>
          <w:ilvl w:val="0"/>
          <w:numId w:val="35"/>
        </w:numPr>
      </w:pPr>
      <w:r>
        <w:lastRenderedPageBreak/>
        <w:t xml:space="preserve">Type 1: </w:t>
      </w:r>
      <w:r w:rsidR="00E1502E">
        <w:t>Conflicts between adjacent links, whereby the same resource in time is marked as H for both IAB-DUs.</w:t>
      </w:r>
    </w:p>
    <w:p w:rsidR="00E1502E" w:rsidRDefault="00D43A83" w:rsidP="00E1502E">
      <w:pPr>
        <w:pStyle w:val="ListParagraph"/>
        <w:numPr>
          <w:ilvl w:val="0"/>
          <w:numId w:val="35"/>
        </w:numPr>
      </w:pPr>
      <w:r>
        <w:t xml:space="preserve">Type 2: </w:t>
      </w:r>
      <w:r w:rsidR="00E1502E">
        <w:t>Conflicts between S or NA resources and periodic allocations of signals / channels.</w:t>
      </w:r>
    </w:p>
    <w:p w:rsidR="00E1502E" w:rsidRDefault="00E1502E" w:rsidP="00E1502E">
      <w:r>
        <w:t xml:space="preserve">An illustration of such conflicts and the associated handling defined in Rel-16 is provided in </w:t>
      </w:r>
      <w:r w:rsidR="00D43A83">
        <w:fldChar w:fldCharType="begin"/>
      </w:r>
      <w:r w:rsidR="00D43A83">
        <w:instrText xml:space="preserve"> REF _Ref47556907 \h </w:instrText>
      </w:r>
      <w:r w:rsidR="00D43A83">
        <w:fldChar w:fldCharType="separate"/>
      </w:r>
      <w:r w:rsidR="00D43A83">
        <w:t xml:space="preserve">Figure </w:t>
      </w:r>
      <w:r w:rsidR="00D43A83">
        <w:rPr>
          <w:noProof/>
        </w:rPr>
        <w:t>3</w:t>
      </w:r>
      <w:r w:rsidR="00D43A83">
        <w:fldChar w:fldCharType="end"/>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7A2FD2" w:rsidTr="00E434C8">
        <w:tc>
          <w:tcPr>
            <w:tcW w:w="9629" w:type="dxa"/>
          </w:tcPr>
          <w:p w:rsidR="007A2FD2" w:rsidRDefault="00A57DD3" w:rsidP="00E1502E">
            <w:r>
              <w:rPr>
                <w:noProof/>
              </w:rPr>
              <w:drawing>
                <wp:inline distT="0" distB="0" distL="0" distR="0" wp14:anchorId="1DCE1D46">
                  <wp:extent cx="5916168" cy="2798064"/>
                  <wp:effectExtent l="0" t="0" r="889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168" cy="2798064"/>
                          </a:xfrm>
                          <a:prstGeom prst="rect">
                            <a:avLst/>
                          </a:prstGeom>
                          <a:noFill/>
                        </pic:spPr>
                      </pic:pic>
                    </a:graphicData>
                  </a:graphic>
                </wp:inline>
              </w:drawing>
            </w:r>
          </w:p>
        </w:tc>
      </w:tr>
    </w:tbl>
    <w:p w:rsidR="00E1502E" w:rsidRDefault="00192C21" w:rsidP="00192C21">
      <w:pPr>
        <w:pStyle w:val="Caption"/>
        <w:jc w:val="center"/>
      </w:pPr>
      <w:bookmarkStart w:id="6" w:name="_Ref47556907"/>
      <w:r>
        <w:t xml:space="preserve">Figure </w:t>
      </w:r>
      <w:r>
        <w:fldChar w:fldCharType="begin"/>
      </w:r>
      <w:r>
        <w:instrText xml:space="preserve"> SEQ Figure \* ARABIC </w:instrText>
      </w:r>
      <w:r>
        <w:fldChar w:fldCharType="separate"/>
      </w:r>
      <w:r w:rsidR="006F55F7">
        <w:rPr>
          <w:noProof/>
        </w:rPr>
        <w:t>3</w:t>
      </w:r>
      <w:r>
        <w:fldChar w:fldCharType="end"/>
      </w:r>
      <w:bookmarkEnd w:id="6"/>
      <w:r>
        <w:t xml:space="preserve"> – Resource conflicts and associated handling</w:t>
      </w:r>
    </w:p>
    <w:p w:rsidR="00DE3FA5" w:rsidRDefault="00DE3FA5" w:rsidP="0075390D">
      <w:pPr>
        <w:pStyle w:val="Heading3"/>
      </w:pPr>
    </w:p>
    <w:p w:rsidR="00192C21" w:rsidRDefault="0075390D" w:rsidP="0075390D">
      <w:pPr>
        <w:pStyle w:val="Heading3"/>
      </w:pPr>
      <w:r>
        <w:t>Resource management extension</w:t>
      </w:r>
      <w:r w:rsidR="0027710A">
        <w:t>s</w:t>
      </w:r>
      <w:r>
        <w:t xml:space="preserve"> for enhanced duplexing</w:t>
      </w:r>
    </w:p>
    <w:p w:rsidR="0075390D" w:rsidRDefault="000A7CCE" w:rsidP="0075390D">
      <w:r>
        <w:t>While the main objective in Rel-16 was to define a solution that would handle the case in which the IAB-MT and the IAB-DU are subject to the half-duplex constraint and need to be time division multiplexed, the objectives in Rel-17 call for extending the solution to the case in which</w:t>
      </w:r>
      <w:r w:rsidR="00694482">
        <w:t xml:space="preserve"> the IAB-MT and IAB-DU have a more advanced duplexing ability and can share simultaneous operation in some capacity, e.g. simultaneous Rx (SDM), simultaneous Tx (SDM), or simultaneous Rx and Tx (FD) or simultaneous Tx and Rx (FD).</w:t>
      </w:r>
    </w:p>
    <w:p w:rsidR="006435F1" w:rsidRDefault="004415E1" w:rsidP="0075390D">
      <w:r>
        <w:t xml:space="preserve">Looking at the Type 1 conflicts in </w:t>
      </w:r>
      <w:r w:rsidR="00937091">
        <w:fldChar w:fldCharType="begin"/>
      </w:r>
      <w:r w:rsidR="00937091">
        <w:instrText xml:space="preserve"> REF _Ref47556907 \h </w:instrText>
      </w:r>
      <w:r w:rsidR="00937091">
        <w:fldChar w:fldCharType="separate"/>
      </w:r>
      <w:r w:rsidR="00937091">
        <w:t xml:space="preserve">Figure </w:t>
      </w:r>
      <w:r w:rsidR="00937091">
        <w:rPr>
          <w:noProof/>
        </w:rPr>
        <w:t>3</w:t>
      </w:r>
      <w:r w:rsidR="00937091">
        <w:fldChar w:fldCharType="end"/>
      </w:r>
      <w:r w:rsidR="00937091">
        <w:t>,</w:t>
      </w:r>
      <w:r>
        <w:t xml:space="preserve"> it can be observed that </w:t>
      </w:r>
      <w:r w:rsidR="00937091">
        <w:t xml:space="preserve">in general the more sophisticated is the duplexing capability of the IAB-node (i.e. the ability to handle simultaneous operation (transmission or reception) of the IAB-MT with the IAB-DU), the more Type 1 conflicts can be allowed in the IAB-DU configurations. </w:t>
      </w:r>
      <w:r w:rsidR="00A868E9">
        <w:t xml:space="preserve">Conversely, if the IAB-node has no duplexing ability between the IAB-MT and the IAB-DU the amount of conflicts should be minimized, particularly in the context of an inter vendor environment. </w:t>
      </w:r>
      <w:r w:rsidR="00937091">
        <w:t>Moreover, it can be observed that if a IAB-node has a high degree of duplexing ability (e.g. it is FD capable), the benefit of such capability cannot be exploited if the IAB-DU configurations strictly separate the resources in time amongst the upstream and downstream links of the IAB-node.</w:t>
      </w:r>
    </w:p>
    <w:p w:rsidR="00A868E9" w:rsidRPr="004F4239" w:rsidRDefault="00A868E9" w:rsidP="00A868E9">
      <w:pPr>
        <w:rPr>
          <w:rStyle w:val="Strong"/>
          <w:u w:val="single"/>
        </w:rPr>
      </w:pPr>
      <w:r>
        <w:rPr>
          <w:rStyle w:val="Strong"/>
          <w:u w:val="single"/>
        </w:rPr>
        <w:t>Observation 1</w:t>
      </w:r>
      <w:r w:rsidRPr="004F4239">
        <w:rPr>
          <w:rStyle w:val="Strong"/>
          <w:u w:val="single"/>
        </w:rPr>
        <w:t>:</w:t>
      </w:r>
    </w:p>
    <w:p w:rsidR="00A868E9" w:rsidRPr="00976905" w:rsidRDefault="00C05223" w:rsidP="00A868E9">
      <w:pPr>
        <w:rPr>
          <w:b/>
          <w:bCs/>
        </w:rPr>
      </w:pPr>
      <w:r w:rsidRPr="00976905">
        <w:rPr>
          <w:b/>
          <w:bCs/>
        </w:rPr>
        <w:t xml:space="preserve">For </w:t>
      </w:r>
      <w:r w:rsidR="00976905" w:rsidRPr="00976905">
        <w:rPr>
          <w:b/>
          <w:bCs/>
        </w:rPr>
        <w:t>improved</w:t>
      </w:r>
      <w:r w:rsidRPr="00976905">
        <w:rPr>
          <w:b/>
          <w:bCs/>
        </w:rPr>
        <w:t xml:space="preserve"> system performance the </w:t>
      </w:r>
      <w:r w:rsidR="00976905" w:rsidRPr="00976905">
        <w:rPr>
          <w:b/>
          <w:bCs/>
        </w:rPr>
        <w:t>IAB-DU resource configurations for a pair of parent and child IAB-nodes need to be commensurate with the duplexing capability of the child IAB-node.</w:t>
      </w:r>
    </w:p>
    <w:p w:rsidR="006527DE" w:rsidRDefault="00976905" w:rsidP="006527DE">
      <w:r>
        <w:t>As previously mentioned, Rel-16 mainly focused on the case of no duplexing capability</w:t>
      </w:r>
      <w:r w:rsidR="008B54CB">
        <w:t>.</w:t>
      </w:r>
      <w:r>
        <w:t xml:space="preserve"> </w:t>
      </w:r>
      <w:r w:rsidR="008B54CB">
        <w:t>H</w:t>
      </w:r>
      <w:r>
        <w:t>owever</w:t>
      </w:r>
      <w:r w:rsidR="008B54CB">
        <w:t>,</w:t>
      </w:r>
      <w:r>
        <w:t xml:space="preserve"> </w:t>
      </w:r>
      <w:r w:rsidR="008B54CB">
        <w:t xml:space="preserve">a given IAB-node can </w:t>
      </w:r>
      <w:r w:rsidR="006527DE">
        <w:t xml:space="preserve">already </w:t>
      </w:r>
      <w:r w:rsidR="008B54CB">
        <w:t>signal to the CU and to its parent node</w:t>
      </w:r>
      <w:r w:rsidR="006527DE">
        <w:t xml:space="preserve"> some duplexing capability </w:t>
      </w:r>
      <w:r w:rsidR="009D4796">
        <w:t>information</w:t>
      </w:r>
      <w:r w:rsidR="006527DE">
        <w:t xml:space="preserve">. </w:t>
      </w:r>
      <w:r w:rsidR="00B76C88">
        <w:t>Specifically,</w:t>
      </w:r>
      <w:r w:rsidR="006527DE">
        <w:t xml:space="preserve"> an IAB-node can indicate (TDM required, TDM not required) for any {MT CC, DU cell} pair with respect to each transmission direction combination:</w:t>
      </w:r>
    </w:p>
    <w:p w:rsidR="006527DE" w:rsidRDefault="006527DE" w:rsidP="006527DE">
      <w:pPr>
        <w:pStyle w:val="ListParagraph"/>
        <w:numPr>
          <w:ilvl w:val="0"/>
          <w:numId w:val="36"/>
        </w:numPr>
      </w:pPr>
      <w:r>
        <w:t>MT-Tx / DU-Tx</w:t>
      </w:r>
    </w:p>
    <w:p w:rsidR="006527DE" w:rsidRDefault="006527DE" w:rsidP="006527DE">
      <w:pPr>
        <w:pStyle w:val="ListParagraph"/>
        <w:numPr>
          <w:ilvl w:val="0"/>
          <w:numId w:val="36"/>
        </w:numPr>
      </w:pPr>
      <w:r>
        <w:t xml:space="preserve">MT-Tx / DU-Rx </w:t>
      </w:r>
    </w:p>
    <w:p w:rsidR="006527DE" w:rsidRDefault="006527DE" w:rsidP="006527DE">
      <w:pPr>
        <w:pStyle w:val="ListParagraph"/>
        <w:numPr>
          <w:ilvl w:val="0"/>
          <w:numId w:val="36"/>
        </w:numPr>
      </w:pPr>
      <w:r>
        <w:t>MT-Rx / DU-Tx</w:t>
      </w:r>
    </w:p>
    <w:p w:rsidR="00976905" w:rsidRDefault="006527DE" w:rsidP="006527DE">
      <w:pPr>
        <w:pStyle w:val="ListParagraph"/>
        <w:numPr>
          <w:ilvl w:val="0"/>
          <w:numId w:val="36"/>
        </w:numPr>
      </w:pPr>
      <w:r>
        <w:t>MT-Rx / DU-Rx</w:t>
      </w:r>
    </w:p>
    <w:p w:rsidR="00167815" w:rsidRDefault="00B96B92" w:rsidP="00167815">
      <w:r>
        <w:t xml:space="preserve">As a result, </w:t>
      </w:r>
      <w:r w:rsidR="00432329">
        <w:t xml:space="preserve">using the existing Rel-16 framework, </w:t>
      </w:r>
      <w:r>
        <w:t xml:space="preserve">the CU is already in a position to determine optimized IAB-DU configurations based on the </w:t>
      </w:r>
      <w:r w:rsidR="00432329">
        <w:t xml:space="preserve">reported duplexing capability of the IAB-nodes. Moreover, </w:t>
      </w:r>
      <w:r w:rsidR="005B619E">
        <w:t xml:space="preserve">a parent node can be made </w:t>
      </w:r>
      <w:r w:rsidR="005B619E">
        <w:lastRenderedPageBreak/>
        <w:t>aware of the duplexing capability of its children nodes and</w:t>
      </w:r>
      <w:r w:rsidR="00DE5B12">
        <w:t xml:space="preserve">, since it can also be made aware of the IAB-DU configuration of its children, </w:t>
      </w:r>
      <w:r w:rsidR="005B619E">
        <w:t>it can act accordingly in presence of a Type 1 conflict with its children.</w:t>
      </w:r>
      <w:r w:rsidR="00DE5B12">
        <w:t xml:space="preserve"> As an example, assuming there is a Type 1 conflict based on the IA</w:t>
      </w:r>
      <w:r w:rsidR="00B76C88">
        <w:t>B</w:t>
      </w:r>
      <w:r w:rsidR="00DE5B12">
        <w:t xml:space="preserve">-DU configurations, if the child node reports no duplexing capability (i.e. TDM required for all MT/DU Rx/Tx combinations) the parent node is aware there is a true conflict and may decide to resolve the conflict in favor of the child by not using the conflicting resource. </w:t>
      </w:r>
      <w:r w:rsidR="00C11C98">
        <w:t>As another example, if the child node reports full duplexing capability (i.e. TDM not required for all MT/DU Rx/Tx combinations), the parent node is aware there is no real conflict and can use the resource without any concern it may cause a conflict at the child node.</w:t>
      </w:r>
    </w:p>
    <w:p w:rsidR="00C11C98" w:rsidRDefault="00E434C8" w:rsidP="00167815">
      <w:r>
        <w:t xml:space="preserve">The general operation is illustrated in </w:t>
      </w:r>
      <w:r w:rsidR="00D573F6">
        <w:fldChar w:fldCharType="begin"/>
      </w:r>
      <w:r w:rsidR="00D573F6">
        <w:instrText xml:space="preserve"> REF _Ref47562448 \h </w:instrText>
      </w:r>
      <w:r w:rsidR="00D573F6">
        <w:fldChar w:fldCharType="separate"/>
      </w:r>
      <w:r w:rsidR="00D573F6">
        <w:t xml:space="preserve">Figure </w:t>
      </w:r>
      <w:r w:rsidR="00D573F6">
        <w:rPr>
          <w:noProof/>
        </w:rPr>
        <w:t>4</w:t>
      </w:r>
      <w:r w:rsidR="00D573F6">
        <w:fldChar w:fldCharType="end"/>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E434C8" w:rsidTr="00E434C8">
        <w:tc>
          <w:tcPr>
            <w:tcW w:w="9629" w:type="dxa"/>
          </w:tcPr>
          <w:p w:rsidR="00E434C8" w:rsidRDefault="00D573F6" w:rsidP="006F55F7">
            <w:pPr>
              <w:keepNext/>
            </w:pPr>
            <w:r>
              <w:rPr>
                <w:noProof/>
              </w:rPr>
              <w:drawing>
                <wp:inline distT="0" distB="0" distL="0" distR="0" wp14:anchorId="0D67454D">
                  <wp:extent cx="5513832" cy="3227832"/>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13832" cy="3227832"/>
                          </a:xfrm>
                          <a:prstGeom prst="rect">
                            <a:avLst/>
                          </a:prstGeom>
                          <a:noFill/>
                        </pic:spPr>
                      </pic:pic>
                    </a:graphicData>
                  </a:graphic>
                </wp:inline>
              </w:drawing>
            </w:r>
          </w:p>
        </w:tc>
      </w:tr>
    </w:tbl>
    <w:p w:rsidR="00E434C8" w:rsidRDefault="006F55F7" w:rsidP="006F55F7">
      <w:pPr>
        <w:pStyle w:val="Caption"/>
        <w:jc w:val="center"/>
      </w:pPr>
      <w:bookmarkStart w:id="7" w:name="_Ref47562448"/>
      <w:r>
        <w:t xml:space="preserve">Figure </w:t>
      </w:r>
      <w:r>
        <w:fldChar w:fldCharType="begin"/>
      </w:r>
      <w:r>
        <w:instrText xml:space="preserve"> SEQ Figure \* ARABIC </w:instrText>
      </w:r>
      <w:r>
        <w:fldChar w:fldCharType="separate"/>
      </w:r>
      <w:r>
        <w:rPr>
          <w:noProof/>
        </w:rPr>
        <w:t>4</w:t>
      </w:r>
      <w:r>
        <w:fldChar w:fldCharType="end"/>
      </w:r>
      <w:bookmarkEnd w:id="7"/>
      <w:r>
        <w:t xml:space="preserve"> – DU configuration has a function of duplexing capability</w:t>
      </w:r>
    </w:p>
    <w:p w:rsidR="00501AAC" w:rsidRPr="004F4239" w:rsidRDefault="00501AAC" w:rsidP="00501AAC">
      <w:pPr>
        <w:rPr>
          <w:rStyle w:val="Strong"/>
          <w:u w:val="single"/>
        </w:rPr>
      </w:pPr>
      <w:r>
        <w:rPr>
          <w:rStyle w:val="Strong"/>
          <w:u w:val="single"/>
        </w:rPr>
        <w:t>Observation 2</w:t>
      </w:r>
      <w:r w:rsidRPr="004F4239">
        <w:rPr>
          <w:rStyle w:val="Strong"/>
          <w:u w:val="single"/>
        </w:rPr>
        <w:t>:</w:t>
      </w:r>
    </w:p>
    <w:p w:rsidR="00614821" w:rsidRDefault="00501AAC" w:rsidP="00501AAC">
      <w:pPr>
        <w:rPr>
          <w:b/>
          <w:bCs/>
        </w:rPr>
      </w:pPr>
      <w:r>
        <w:rPr>
          <w:b/>
          <w:bCs/>
        </w:rPr>
        <w:t xml:space="preserve">The Rel-16 framework for is already suitable to support </w:t>
      </w:r>
      <w:r w:rsidR="00E7187A">
        <w:rPr>
          <w:b/>
          <w:bCs/>
        </w:rPr>
        <w:t>efficient</w:t>
      </w:r>
      <w:r>
        <w:rPr>
          <w:b/>
          <w:bCs/>
        </w:rPr>
        <w:t xml:space="preserve"> semi-static IAB-DU resource configuration as a function of duplexing capabilities of IAB-nodes.</w:t>
      </w:r>
    </w:p>
    <w:p w:rsidR="00E7187A" w:rsidRDefault="00E7187A" w:rsidP="00501AAC">
      <w:r>
        <w:t xml:space="preserve">Based on this observation it seems there is no need in Rel-17 for enhancements to the semi-static IAB-DU resource configuration framework specifically for the support of enhanced duplexing capabilities of IAB-nodes. As a </w:t>
      </w:r>
      <w:r w:rsidR="00B76C88">
        <w:t>result,</w:t>
      </w:r>
      <w:r>
        <w:t xml:space="preserve"> we have the following proposal:</w:t>
      </w:r>
    </w:p>
    <w:p w:rsidR="00E7187A" w:rsidRPr="004F4239" w:rsidRDefault="00E7187A" w:rsidP="00E7187A">
      <w:pPr>
        <w:rPr>
          <w:rStyle w:val="Strong"/>
          <w:u w:val="single"/>
        </w:rPr>
      </w:pPr>
      <w:r w:rsidRPr="004F4239">
        <w:rPr>
          <w:rStyle w:val="Strong"/>
          <w:u w:val="single"/>
        </w:rPr>
        <w:t>Proposal</w:t>
      </w:r>
      <w:r>
        <w:rPr>
          <w:rStyle w:val="Strong"/>
          <w:u w:val="single"/>
        </w:rPr>
        <w:t xml:space="preserve"> 1</w:t>
      </w:r>
      <w:r w:rsidRPr="004F4239">
        <w:rPr>
          <w:rStyle w:val="Strong"/>
          <w:u w:val="single"/>
        </w:rPr>
        <w:t>:</w:t>
      </w:r>
    </w:p>
    <w:p w:rsidR="00E7187A" w:rsidRDefault="00E7187A" w:rsidP="00E7187A">
      <w:pPr>
        <w:overflowPunct/>
        <w:autoSpaceDE/>
        <w:autoSpaceDN/>
        <w:adjustRightInd/>
        <w:spacing w:after="0"/>
        <w:textAlignment w:val="auto"/>
        <w:rPr>
          <w:b/>
          <w:bCs/>
        </w:rPr>
      </w:pPr>
      <w:r>
        <w:rPr>
          <w:b/>
          <w:bCs/>
        </w:rPr>
        <w:t xml:space="preserve">IAB-DU semi-static resource configuration for enhanced duplexing capabilities (i.e. </w:t>
      </w:r>
      <w:r w:rsidRPr="00E7187A">
        <w:rPr>
          <w:b/>
          <w:bCs/>
        </w:rPr>
        <w:t>simultaneous operation (transmission and/or reception) of IAB-node’s child and parent links</w:t>
      </w:r>
      <w:r>
        <w:rPr>
          <w:b/>
          <w:bCs/>
        </w:rPr>
        <w:t xml:space="preserve">) is supported using the existing Rel-16 </w:t>
      </w:r>
      <w:r w:rsidR="00E40E83">
        <w:rPr>
          <w:b/>
          <w:bCs/>
        </w:rPr>
        <w:t xml:space="preserve">resource management </w:t>
      </w:r>
      <w:r>
        <w:rPr>
          <w:b/>
          <w:bCs/>
        </w:rPr>
        <w:t>framework.</w:t>
      </w:r>
    </w:p>
    <w:p w:rsidR="00E7187A" w:rsidRPr="002257EE" w:rsidRDefault="00E7187A" w:rsidP="00E7187A">
      <w:pPr>
        <w:overflowPunct/>
        <w:autoSpaceDE/>
        <w:autoSpaceDN/>
        <w:adjustRightInd/>
        <w:spacing w:after="0"/>
        <w:textAlignment w:val="auto"/>
        <w:rPr>
          <w:b/>
          <w:bCs/>
        </w:rPr>
      </w:pPr>
    </w:p>
    <w:p w:rsidR="00E7187A" w:rsidRDefault="00D81254" w:rsidP="00501AAC">
      <w:r>
        <w:t xml:space="preserve">In </w:t>
      </w:r>
      <w:r w:rsidR="00B76C88">
        <w:t>general,</w:t>
      </w:r>
      <w:r>
        <w:t xml:space="preserve"> the duplexing capability of an IAB-node is not in all cases a static property. As an example, the amount of interference from the IAB-DU Tx to the IAB-MT Rx can generally depend on the dynamic beam characteristics and their mutual coupling. As a result, in practice, an indication of duplexing capability may not be represen</w:t>
      </w:r>
      <w:r w:rsidR="00B76C88">
        <w:t>ta</w:t>
      </w:r>
      <w:r>
        <w:t>tive of an absolute capability, but rather of a conditional capability. It is assumed that a sensible IAB-node design would report a certain duplexing capability if it can guarantee that in the majority of the cases, such capability can effectively be exploited.</w:t>
      </w:r>
    </w:p>
    <w:p w:rsidR="00D81254" w:rsidRPr="004F4239" w:rsidRDefault="00D81254" w:rsidP="00D81254">
      <w:pPr>
        <w:rPr>
          <w:rStyle w:val="Strong"/>
          <w:u w:val="single"/>
        </w:rPr>
      </w:pPr>
      <w:r>
        <w:rPr>
          <w:rStyle w:val="Strong"/>
          <w:u w:val="single"/>
        </w:rPr>
        <w:t>Observation 3</w:t>
      </w:r>
      <w:r w:rsidRPr="004F4239">
        <w:rPr>
          <w:rStyle w:val="Strong"/>
          <w:u w:val="single"/>
        </w:rPr>
        <w:t>:</w:t>
      </w:r>
    </w:p>
    <w:p w:rsidR="00D81254" w:rsidRDefault="00D81254" w:rsidP="00D81254">
      <w:pPr>
        <w:rPr>
          <w:b/>
          <w:bCs/>
        </w:rPr>
      </w:pPr>
      <w:r>
        <w:rPr>
          <w:b/>
          <w:bCs/>
        </w:rPr>
        <w:t>Duplexing capability</w:t>
      </w:r>
      <w:r w:rsidR="0076406C">
        <w:rPr>
          <w:b/>
          <w:bCs/>
        </w:rPr>
        <w:t xml:space="preserve"> is in general conditional and not necessarily an absolute property that applies independently of the IAB-MT and IAB-DU beams direction and shape.</w:t>
      </w:r>
    </w:p>
    <w:p w:rsidR="0076406C" w:rsidRDefault="0076406C" w:rsidP="00D81254">
      <w:r>
        <w:lastRenderedPageBreak/>
        <w:t>As a result, improved system performance may require consideration for the dynamic aspects of the duplexing capabilities of an IAB-node.</w:t>
      </w:r>
    </w:p>
    <w:p w:rsidR="0076406C" w:rsidRDefault="0076406C" w:rsidP="00D81254"/>
    <w:p w:rsidR="0076406C" w:rsidRPr="004F4239" w:rsidRDefault="0076406C" w:rsidP="0076406C">
      <w:pPr>
        <w:rPr>
          <w:rStyle w:val="Strong"/>
          <w:u w:val="single"/>
        </w:rPr>
      </w:pPr>
      <w:r w:rsidRPr="004F4239">
        <w:rPr>
          <w:rStyle w:val="Strong"/>
          <w:u w:val="single"/>
        </w:rPr>
        <w:t>Proposal</w:t>
      </w:r>
      <w:r>
        <w:rPr>
          <w:rStyle w:val="Strong"/>
          <w:u w:val="single"/>
        </w:rPr>
        <w:t xml:space="preserve"> 2</w:t>
      </w:r>
      <w:r w:rsidRPr="004F4239">
        <w:rPr>
          <w:rStyle w:val="Strong"/>
          <w:u w:val="single"/>
        </w:rPr>
        <w:t>:</w:t>
      </w:r>
    </w:p>
    <w:p w:rsidR="0076406C" w:rsidRDefault="00CF6132" w:rsidP="0076406C">
      <w:pPr>
        <w:rPr>
          <w:b/>
          <w:bCs/>
        </w:rPr>
      </w:pPr>
      <w:r>
        <w:rPr>
          <w:b/>
          <w:bCs/>
        </w:rPr>
        <w:t>Rel-17</w:t>
      </w:r>
      <w:r w:rsidR="00085AA8">
        <w:rPr>
          <w:b/>
          <w:bCs/>
        </w:rPr>
        <w:t xml:space="preserve"> includes</w:t>
      </w:r>
      <w:r>
        <w:rPr>
          <w:b/>
          <w:bCs/>
        </w:rPr>
        <w:t xml:space="preserve"> e</w:t>
      </w:r>
      <w:r w:rsidR="00484708">
        <w:rPr>
          <w:b/>
          <w:bCs/>
        </w:rPr>
        <w:t>nhancements for the dynamic nature of the duplexing capability of an IAB-node</w:t>
      </w:r>
      <w:r>
        <w:rPr>
          <w:b/>
          <w:bCs/>
        </w:rPr>
        <w:t>. Details are FFS.</w:t>
      </w:r>
    </w:p>
    <w:p w:rsidR="00DE3FA5" w:rsidRPr="0076406C" w:rsidRDefault="00DE3FA5" w:rsidP="0076406C"/>
    <w:p w:rsidR="00D81254" w:rsidRDefault="0027710A" w:rsidP="0027710A">
      <w:pPr>
        <w:pStyle w:val="Heading3"/>
      </w:pPr>
      <w:r>
        <w:t>Resource management extensions for multi-parent scenarios</w:t>
      </w:r>
    </w:p>
    <w:p w:rsidR="0027710A" w:rsidRDefault="00240EFB" w:rsidP="0027710A">
      <w:r>
        <w:t>Rel-17 objectives include the specification of enhancements for multi-parent scenarios deriving from the multi-connectivity scenarios defined by RAN2 and RAN3</w:t>
      </w:r>
      <w:r w:rsidR="00214BAD">
        <w:t xml:space="preserve"> </w:t>
      </w:r>
      <w:r w:rsidR="00214BAD" w:rsidRPr="00214BAD">
        <w:t>in the context of topology redundancy for improved robustness and load balancing</w:t>
      </w:r>
      <w:r w:rsidR="00214BAD">
        <w:t>.</w:t>
      </w:r>
    </w:p>
    <w:p w:rsidR="00D5640D" w:rsidRDefault="00D5640D" w:rsidP="0027710A">
      <w:r>
        <w:t>From a RAN1 p</w:t>
      </w:r>
      <w:r w:rsidR="00712C96">
        <w:t>erspective, regardless of the upper layers signalling specifics for the mulit-connec</w:t>
      </w:r>
      <w:r w:rsidR="00B76C88">
        <w:t>ti</w:t>
      </w:r>
      <w:r w:rsidR="00712C96">
        <w:t>vity framework, the main</w:t>
      </w:r>
      <w:r w:rsidR="00A87D42">
        <w:t xml:space="preserve"> remaining</w:t>
      </w:r>
      <w:r w:rsidR="00712C96">
        <w:t xml:space="preserve"> issue relates to the case in which multiple parent </w:t>
      </w:r>
      <w:r w:rsidR="00152F18">
        <w:t xml:space="preserve">nodes </w:t>
      </w:r>
      <w:r w:rsidR="00712C96">
        <w:t xml:space="preserve">need to share </w:t>
      </w:r>
      <w:r w:rsidR="00152F18">
        <w:t xml:space="preserve">the same time / frequency resources in the communication with a child node. In this situation the </w:t>
      </w:r>
      <w:r w:rsidR="007F574F">
        <w:t xml:space="preserve">aspects related to </w:t>
      </w:r>
      <w:r w:rsidR="00DA1B21">
        <w:t xml:space="preserve">IAB-DU </w:t>
      </w:r>
      <w:r w:rsidR="007F574F">
        <w:t xml:space="preserve">resource coordination need to consider the additional duplexing constraint / capability </w:t>
      </w:r>
      <w:r w:rsidR="00DA1B21">
        <w:t>across the links to the multiple parents.</w:t>
      </w:r>
    </w:p>
    <w:p w:rsidR="00DA1B21" w:rsidRPr="004F4239" w:rsidRDefault="00DA1B21" w:rsidP="00DA1B21">
      <w:pPr>
        <w:rPr>
          <w:rStyle w:val="Strong"/>
          <w:u w:val="single"/>
        </w:rPr>
      </w:pPr>
      <w:r>
        <w:rPr>
          <w:rStyle w:val="Strong"/>
          <w:u w:val="single"/>
        </w:rPr>
        <w:t>Observation 4</w:t>
      </w:r>
      <w:r w:rsidRPr="004F4239">
        <w:rPr>
          <w:rStyle w:val="Strong"/>
          <w:u w:val="single"/>
        </w:rPr>
        <w:t>:</w:t>
      </w:r>
    </w:p>
    <w:p w:rsidR="00DA1B21" w:rsidRDefault="00A87D42" w:rsidP="00DA1B21">
      <w:pPr>
        <w:rPr>
          <w:b/>
          <w:bCs/>
        </w:rPr>
      </w:pPr>
      <w:r>
        <w:rPr>
          <w:b/>
          <w:bCs/>
        </w:rPr>
        <w:t xml:space="preserve">From a RAN1 perspective, </w:t>
      </w:r>
      <w:r w:rsidR="00275CA4">
        <w:rPr>
          <w:b/>
          <w:bCs/>
        </w:rPr>
        <w:t xml:space="preserve">the impact of </w:t>
      </w:r>
      <w:r>
        <w:rPr>
          <w:b/>
          <w:bCs/>
        </w:rPr>
        <w:t xml:space="preserve">multiple-parents scenarios </w:t>
      </w:r>
      <w:r w:rsidR="00275CA4">
        <w:rPr>
          <w:b/>
          <w:bCs/>
        </w:rPr>
        <w:t xml:space="preserve">on IAB-DU resource coordination resolves to the need to </w:t>
      </w:r>
      <w:r w:rsidR="00275CA4" w:rsidRPr="00275CA4">
        <w:rPr>
          <w:b/>
          <w:bCs/>
        </w:rPr>
        <w:t xml:space="preserve">consider the additional duplexing constraint / capability </w:t>
      </w:r>
      <w:r w:rsidR="00275CA4">
        <w:rPr>
          <w:b/>
          <w:bCs/>
        </w:rPr>
        <w:t xml:space="preserve">of an IAB-node </w:t>
      </w:r>
      <w:r w:rsidR="00275CA4" w:rsidRPr="00275CA4">
        <w:rPr>
          <w:b/>
          <w:bCs/>
        </w:rPr>
        <w:t>across the links to the multiple parents</w:t>
      </w:r>
      <w:r w:rsidR="00275CA4">
        <w:rPr>
          <w:b/>
          <w:bCs/>
        </w:rPr>
        <w:t>.</w:t>
      </w:r>
    </w:p>
    <w:p w:rsidR="00DA1B21" w:rsidRDefault="00DA1B21" w:rsidP="00DA1B21">
      <w:r>
        <w:t xml:space="preserve">As a </w:t>
      </w:r>
      <w:r w:rsidR="00B76C88">
        <w:t>result,</w:t>
      </w:r>
      <w:r w:rsidR="00275CA4">
        <w:t xml:space="preserve"> we have the following proposal:</w:t>
      </w:r>
    </w:p>
    <w:p w:rsidR="00275CA4" w:rsidRPr="004F4239" w:rsidRDefault="00275CA4" w:rsidP="00275CA4">
      <w:pPr>
        <w:rPr>
          <w:rStyle w:val="Strong"/>
          <w:u w:val="single"/>
        </w:rPr>
      </w:pPr>
      <w:r w:rsidRPr="004F4239">
        <w:rPr>
          <w:rStyle w:val="Strong"/>
          <w:u w:val="single"/>
        </w:rPr>
        <w:t>Proposal</w:t>
      </w:r>
      <w:r>
        <w:rPr>
          <w:rStyle w:val="Strong"/>
          <w:u w:val="single"/>
        </w:rPr>
        <w:t xml:space="preserve"> 3</w:t>
      </w:r>
      <w:r w:rsidRPr="004F4239">
        <w:rPr>
          <w:rStyle w:val="Strong"/>
          <w:u w:val="single"/>
        </w:rPr>
        <w:t>:</w:t>
      </w:r>
    </w:p>
    <w:p w:rsidR="00275CA4" w:rsidRDefault="00275CA4" w:rsidP="00275CA4">
      <w:pPr>
        <w:rPr>
          <w:b/>
          <w:bCs/>
        </w:rPr>
      </w:pPr>
      <w:r>
        <w:rPr>
          <w:b/>
          <w:bCs/>
        </w:rPr>
        <w:t xml:space="preserve">Rel-17 includes </w:t>
      </w:r>
      <w:r w:rsidR="002A689D">
        <w:rPr>
          <w:b/>
          <w:bCs/>
        </w:rPr>
        <w:t xml:space="preserve">enhancements for efficient IAB-DU resource coordination across </w:t>
      </w:r>
      <w:r w:rsidR="002A689D" w:rsidRPr="00275CA4">
        <w:rPr>
          <w:b/>
          <w:bCs/>
        </w:rPr>
        <w:t>links to the multiple parents</w:t>
      </w:r>
      <w:r w:rsidR="002A689D">
        <w:rPr>
          <w:b/>
          <w:bCs/>
        </w:rPr>
        <w:t xml:space="preserve"> sharing the same time / frequency resources.</w:t>
      </w:r>
    </w:p>
    <w:p w:rsidR="00DE3FA5" w:rsidRDefault="00DE3FA5" w:rsidP="00275CA4">
      <w:pPr>
        <w:rPr>
          <w:b/>
          <w:bCs/>
        </w:rPr>
      </w:pPr>
    </w:p>
    <w:p w:rsidR="00DE3FA5" w:rsidRDefault="00DE3FA5" w:rsidP="00275CA4">
      <w:pPr>
        <w:rPr>
          <w:b/>
          <w:bCs/>
        </w:rPr>
      </w:pPr>
    </w:p>
    <w:p w:rsidR="00DE3FA5" w:rsidRDefault="00DE3FA5" w:rsidP="00275CA4">
      <w:pPr>
        <w:rPr>
          <w:b/>
          <w:bCs/>
        </w:rPr>
      </w:pPr>
    </w:p>
    <w:p w:rsidR="00DE3FA5" w:rsidRPr="0027710A" w:rsidRDefault="00DE3FA5" w:rsidP="00275CA4"/>
    <w:bookmarkEnd w:id="1"/>
    <w:bookmarkEnd w:id="2"/>
    <w:p w:rsidR="00652213" w:rsidRDefault="007458D9" w:rsidP="00D14BA0">
      <w:pPr>
        <w:pStyle w:val="Heading3"/>
      </w:pPr>
      <w:r>
        <w:t>Conclusion</w:t>
      </w:r>
    </w:p>
    <w:p w:rsidR="007458D9" w:rsidRDefault="00F4475B" w:rsidP="00652213">
      <w:r>
        <w:t xml:space="preserve">This contribution </w:t>
      </w:r>
      <w:r w:rsidR="00A123EA">
        <w:t>provide</w:t>
      </w:r>
      <w:r w:rsidR="00A87D42">
        <w:t>d</w:t>
      </w:r>
      <w:r w:rsidR="00D57B3B">
        <w:t xml:space="preserve"> our view on the IAB resource management framework in the context of the Rel-17 IAB WID</w:t>
      </w:r>
      <w:r w:rsidR="008C1E35">
        <w:t xml:space="preserve"> </w:t>
      </w:r>
      <w:r w:rsidR="00A123EA">
        <w:t>.</w:t>
      </w:r>
      <w:r w:rsidR="00152200">
        <w:t xml:space="preserve"> The following observations and proposals were made:</w:t>
      </w:r>
    </w:p>
    <w:p w:rsidR="002257EE" w:rsidRPr="002257EE" w:rsidRDefault="002257EE" w:rsidP="002257EE">
      <w:pPr>
        <w:overflowPunct/>
        <w:autoSpaceDE/>
        <w:autoSpaceDN/>
        <w:adjustRightInd/>
        <w:spacing w:after="0"/>
        <w:textAlignment w:val="auto"/>
        <w:rPr>
          <w:b/>
          <w:bCs/>
        </w:rPr>
      </w:pPr>
    </w:p>
    <w:p w:rsidR="00DE3FA5" w:rsidRPr="004F4239" w:rsidRDefault="00DE3FA5" w:rsidP="00DE3FA5">
      <w:pPr>
        <w:rPr>
          <w:rStyle w:val="Strong"/>
          <w:u w:val="single"/>
        </w:rPr>
      </w:pPr>
      <w:r>
        <w:rPr>
          <w:rStyle w:val="Strong"/>
          <w:u w:val="single"/>
        </w:rPr>
        <w:t>Observation 1</w:t>
      </w:r>
      <w:r w:rsidRPr="004F4239">
        <w:rPr>
          <w:rStyle w:val="Strong"/>
          <w:u w:val="single"/>
        </w:rPr>
        <w:t>:</w:t>
      </w:r>
    </w:p>
    <w:p w:rsidR="00DE3FA5" w:rsidRPr="00976905" w:rsidRDefault="00DE3FA5" w:rsidP="00DE3FA5">
      <w:pPr>
        <w:rPr>
          <w:b/>
          <w:bCs/>
        </w:rPr>
      </w:pPr>
      <w:r w:rsidRPr="00976905">
        <w:rPr>
          <w:b/>
          <w:bCs/>
        </w:rPr>
        <w:t>For improved system performance the IAB-DU resource configurations for a pair of parent and child IAB-nodes need to be commensurate with the duplexing capability of the child IAB-node.</w:t>
      </w:r>
    </w:p>
    <w:p w:rsidR="00DE3FA5" w:rsidRPr="004F4239" w:rsidRDefault="00DE3FA5" w:rsidP="00DE3FA5">
      <w:pPr>
        <w:rPr>
          <w:rStyle w:val="Strong"/>
          <w:u w:val="single"/>
        </w:rPr>
      </w:pPr>
      <w:r>
        <w:rPr>
          <w:rStyle w:val="Strong"/>
          <w:u w:val="single"/>
        </w:rPr>
        <w:t>Observation 2</w:t>
      </w:r>
      <w:r w:rsidRPr="004F4239">
        <w:rPr>
          <w:rStyle w:val="Strong"/>
          <w:u w:val="single"/>
        </w:rPr>
        <w:t>:</w:t>
      </w:r>
    </w:p>
    <w:p w:rsidR="00DE3FA5" w:rsidRPr="002257EE" w:rsidRDefault="00DE3FA5" w:rsidP="00DE3FA5">
      <w:pPr>
        <w:rPr>
          <w:b/>
          <w:bCs/>
        </w:rPr>
      </w:pPr>
      <w:r>
        <w:rPr>
          <w:b/>
          <w:bCs/>
        </w:rPr>
        <w:t>The Rel-16 framework for is already suitable to support efficient semi-static IAB-DU resource configuration as a function of duplexing capabilities of IAB-nodes.</w:t>
      </w:r>
    </w:p>
    <w:p w:rsidR="00DE3FA5" w:rsidRPr="004F4239" w:rsidRDefault="00DE3FA5" w:rsidP="00DE3FA5">
      <w:pPr>
        <w:rPr>
          <w:rStyle w:val="Strong"/>
          <w:u w:val="single"/>
        </w:rPr>
      </w:pPr>
      <w:r>
        <w:rPr>
          <w:rStyle w:val="Strong"/>
          <w:u w:val="single"/>
        </w:rPr>
        <w:t>Observation 3</w:t>
      </w:r>
      <w:r w:rsidRPr="004F4239">
        <w:rPr>
          <w:rStyle w:val="Strong"/>
          <w:u w:val="single"/>
        </w:rPr>
        <w:t>:</w:t>
      </w:r>
    </w:p>
    <w:p w:rsidR="00DE3FA5" w:rsidRDefault="00DE3FA5" w:rsidP="00DE3FA5">
      <w:pPr>
        <w:rPr>
          <w:b/>
          <w:bCs/>
        </w:rPr>
      </w:pPr>
      <w:r>
        <w:rPr>
          <w:b/>
          <w:bCs/>
        </w:rPr>
        <w:t>Duplexing capability is in general conditional and not necessarily an absolute property that applies independently of the IAB-MT and IAB-DU beams direction and shape.</w:t>
      </w:r>
    </w:p>
    <w:p w:rsidR="00DE3FA5" w:rsidRPr="004F4239" w:rsidRDefault="00DE3FA5" w:rsidP="00DE3FA5">
      <w:pPr>
        <w:rPr>
          <w:rStyle w:val="Strong"/>
          <w:u w:val="single"/>
        </w:rPr>
      </w:pPr>
      <w:r>
        <w:rPr>
          <w:rStyle w:val="Strong"/>
          <w:u w:val="single"/>
        </w:rPr>
        <w:lastRenderedPageBreak/>
        <w:t>Observation 4</w:t>
      </w:r>
      <w:r w:rsidRPr="004F4239">
        <w:rPr>
          <w:rStyle w:val="Strong"/>
          <w:u w:val="single"/>
        </w:rPr>
        <w:t>:</w:t>
      </w:r>
    </w:p>
    <w:p w:rsidR="00DE3FA5" w:rsidRDefault="00DE3FA5" w:rsidP="00DE3FA5">
      <w:pPr>
        <w:rPr>
          <w:b/>
          <w:bCs/>
        </w:rPr>
      </w:pPr>
      <w:r>
        <w:rPr>
          <w:b/>
          <w:bCs/>
        </w:rPr>
        <w:t xml:space="preserve">From a RAN1 perspective, the impact of multiple-parents scenarios on IAB-DU resource coordination resolves to the need to </w:t>
      </w:r>
      <w:r w:rsidRPr="00275CA4">
        <w:rPr>
          <w:b/>
          <w:bCs/>
        </w:rPr>
        <w:t xml:space="preserve">consider the additional duplexing constraint / capability </w:t>
      </w:r>
      <w:r>
        <w:rPr>
          <w:b/>
          <w:bCs/>
        </w:rPr>
        <w:t xml:space="preserve">of an IAB-node </w:t>
      </w:r>
      <w:r w:rsidRPr="00275CA4">
        <w:rPr>
          <w:b/>
          <w:bCs/>
        </w:rPr>
        <w:t>across the links to the multiple parents</w:t>
      </w:r>
      <w:r>
        <w:rPr>
          <w:b/>
          <w:bCs/>
        </w:rPr>
        <w:t>.</w:t>
      </w:r>
    </w:p>
    <w:p w:rsidR="00DE3FA5" w:rsidRDefault="00DE3FA5" w:rsidP="00DE3FA5">
      <w:pPr>
        <w:rPr>
          <w:rStyle w:val="Strong"/>
          <w:u w:val="single"/>
        </w:rPr>
      </w:pPr>
    </w:p>
    <w:p w:rsidR="00DE3FA5" w:rsidRPr="004F4239" w:rsidRDefault="00DE3FA5" w:rsidP="00DE3FA5">
      <w:pPr>
        <w:rPr>
          <w:rStyle w:val="Strong"/>
          <w:u w:val="single"/>
        </w:rPr>
      </w:pPr>
      <w:r w:rsidRPr="004F4239">
        <w:rPr>
          <w:rStyle w:val="Strong"/>
          <w:u w:val="single"/>
        </w:rPr>
        <w:t>Proposal</w:t>
      </w:r>
      <w:r>
        <w:rPr>
          <w:rStyle w:val="Strong"/>
          <w:u w:val="single"/>
        </w:rPr>
        <w:t xml:space="preserve"> 1</w:t>
      </w:r>
      <w:r w:rsidRPr="004F4239">
        <w:rPr>
          <w:rStyle w:val="Strong"/>
          <w:u w:val="single"/>
        </w:rPr>
        <w:t>:</w:t>
      </w:r>
    </w:p>
    <w:p w:rsidR="00DE3FA5" w:rsidRDefault="00DE3FA5" w:rsidP="00DE3FA5">
      <w:pPr>
        <w:overflowPunct/>
        <w:autoSpaceDE/>
        <w:autoSpaceDN/>
        <w:adjustRightInd/>
        <w:spacing w:after="0"/>
        <w:textAlignment w:val="auto"/>
        <w:rPr>
          <w:b/>
          <w:bCs/>
        </w:rPr>
      </w:pPr>
      <w:r>
        <w:rPr>
          <w:b/>
          <w:bCs/>
        </w:rPr>
        <w:t xml:space="preserve">IAB-DU semi-static resource configuration for enhanced duplexing capabilities (i.e. </w:t>
      </w:r>
      <w:r w:rsidRPr="00E7187A">
        <w:rPr>
          <w:b/>
          <w:bCs/>
        </w:rPr>
        <w:t>simultaneous operation (transmission and/or reception) of IAB-node’s child and parent links</w:t>
      </w:r>
      <w:r>
        <w:rPr>
          <w:b/>
          <w:bCs/>
        </w:rPr>
        <w:t>) is supported using the existing Rel-16 resource management framework.</w:t>
      </w:r>
    </w:p>
    <w:p w:rsidR="00DE3FA5" w:rsidRDefault="00DE3FA5" w:rsidP="00DE3FA5">
      <w:pPr>
        <w:rPr>
          <w:rStyle w:val="Strong"/>
          <w:u w:val="single"/>
        </w:rPr>
      </w:pPr>
    </w:p>
    <w:p w:rsidR="00DE3FA5" w:rsidRPr="004F4239" w:rsidRDefault="00DE3FA5" w:rsidP="00DE3FA5">
      <w:pPr>
        <w:rPr>
          <w:rStyle w:val="Strong"/>
          <w:u w:val="single"/>
        </w:rPr>
      </w:pPr>
      <w:r w:rsidRPr="004F4239">
        <w:rPr>
          <w:rStyle w:val="Strong"/>
          <w:u w:val="single"/>
        </w:rPr>
        <w:t>Proposal</w:t>
      </w:r>
      <w:r>
        <w:rPr>
          <w:rStyle w:val="Strong"/>
          <w:u w:val="single"/>
        </w:rPr>
        <w:t xml:space="preserve"> 2</w:t>
      </w:r>
      <w:r w:rsidRPr="004F4239">
        <w:rPr>
          <w:rStyle w:val="Strong"/>
          <w:u w:val="single"/>
        </w:rPr>
        <w:t>:</w:t>
      </w:r>
    </w:p>
    <w:p w:rsidR="00DE3FA5" w:rsidRPr="0076406C" w:rsidRDefault="00DE3FA5" w:rsidP="00DE3FA5">
      <w:r>
        <w:rPr>
          <w:b/>
          <w:bCs/>
        </w:rPr>
        <w:t>Rel-17 includes enhancements for the dynamic nature of the duplexing capability of an IAB-node. Details are FFS.</w:t>
      </w:r>
    </w:p>
    <w:p w:rsidR="00DE3FA5" w:rsidRPr="004F4239" w:rsidRDefault="00DE3FA5" w:rsidP="00DE3FA5">
      <w:pPr>
        <w:rPr>
          <w:rStyle w:val="Strong"/>
          <w:u w:val="single"/>
        </w:rPr>
      </w:pPr>
      <w:r w:rsidRPr="004F4239">
        <w:rPr>
          <w:rStyle w:val="Strong"/>
          <w:u w:val="single"/>
        </w:rPr>
        <w:t>Proposal</w:t>
      </w:r>
      <w:r>
        <w:rPr>
          <w:rStyle w:val="Strong"/>
          <w:u w:val="single"/>
        </w:rPr>
        <w:t xml:space="preserve"> 3</w:t>
      </w:r>
      <w:r w:rsidRPr="004F4239">
        <w:rPr>
          <w:rStyle w:val="Strong"/>
          <w:u w:val="single"/>
        </w:rPr>
        <w:t>:</w:t>
      </w:r>
    </w:p>
    <w:p w:rsidR="00DE3FA5" w:rsidRPr="0027710A" w:rsidRDefault="00DE3FA5" w:rsidP="00DE3FA5">
      <w:r>
        <w:rPr>
          <w:b/>
          <w:bCs/>
        </w:rPr>
        <w:t xml:space="preserve">Rel-17 includes enhancements for efficient IAB-DU resource coordination across </w:t>
      </w:r>
      <w:r w:rsidRPr="00275CA4">
        <w:rPr>
          <w:b/>
          <w:bCs/>
        </w:rPr>
        <w:t>links to the multiple parents</w:t>
      </w:r>
      <w:r>
        <w:rPr>
          <w:b/>
          <w:bCs/>
        </w:rPr>
        <w:t xml:space="preserve"> sharing the same time / frequency resources.</w:t>
      </w:r>
    </w:p>
    <w:p w:rsidR="002257EE" w:rsidRDefault="002257EE" w:rsidP="00726DFD"/>
    <w:p w:rsidR="00D14BA0" w:rsidRDefault="00D14BA0" w:rsidP="00D14BA0">
      <w:pPr>
        <w:pStyle w:val="Heading3"/>
      </w:pPr>
      <w:r>
        <w:t>References</w:t>
      </w:r>
    </w:p>
    <w:p w:rsidR="00515823" w:rsidRPr="00860A73" w:rsidRDefault="0066284A" w:rsidP="0066284A">
      <w:pPr>
        <w:rPr>
          <w:sz w:val="18"/>
        </w:rPr>
      </w:pPr>
      <w:r w:rsidRPr="00860A73">
        <w:rPr>
          <w:sz w:val="18"/>
        </w:rPr>
        <w:t>[1]</w:t>
      </w:r>
      <w:r w:rsidRPr="00860A73">
        <w:rPr>
          <w:sz w:val="18"/>
        </w:rPr>
        <w:tab/>
      </w:r>
      <w:r w:rsidRPr="00860A73">
        <w:rPr>
          <w:sz w:val="18"/>
        </w:rPr>
        <w:tab/>
      </w:r>
      <w:r w:rsidR="00691062" w:rsidRPr="00691062">
        <w:rPr>
          <w:sz w:val="18"/>
        </w:rPr>
        <w:t>RP-201293: Revised WID for NR_IAB_enh; TSG RAN Meeting #88, Electronic Meeting, June 29 - July 3, 2020</w:t>
      </w:r>
    </w:p>
    <w:p w:rsidR="00BA7C88" w:rsidRDefault="00BA7C88" w:rsidP="009E1DB0"/>
    <w:p w:rsidR="00BD62C8" w:rsidRPr="009B5DA9" w:rsidRDefault="00BD62C8" w:rsidP="009E1DB0"/>
    <w:sectPr w:rsidR="00BD62C8" w:rsidRPr="009B5DA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77B1" w:rsidRDefault="003877B1">
      <w:pPr>
        <w:spacing w:after="0"/>
      </w:pPr>
      <w:r>
        <w:separator/>
      </w:r>
    </w:p>
  </w:endnote>
  <w:endnote w:type="continuationSeparator" w:id="0">
    <w:p w:rsidR="003877B1" w:rsidRDefault="003877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D3F" w:rsidRDefault="004D3D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D3F" w:rsidRDefault="004D3D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D3F" w:rsidRDefault="004D3D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77B1" w:rsidRDefault="003877B1">
      <w:pPr>
        <w:spacing w:after="0"/>
      </w:pPr>
      <w:r>
        <w:separator/>
      </w:r>
    </w:p>
  </w:footnote>
  <w:footnote w:type="continuationSeparator" w:id="0">
    <w:p w:rsidR="003877B1" w:rsidRDefault="003877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D3F" w:rsidRDefault="004D3D3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D3F" w:rsidRDefault="004D3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D3F" w:rsidRDefault="004D3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04441"/>
    <w:multiLevelType w:val="hybridMultilevel"/>
    <w:tmpl w:val="2C120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D731CB"/>
    <w:multiLevelType w:val="hybridMultilevel"/>
    <w:tmpl w:val="015A4C58"/>
    <w:lvl w:ilvl="0" w:tplc="20C0D2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7B0D2E"/>
    <w:multiLevelType w:val="hybridMultilevel"/>
    <w:tmpl w:val="2C120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3E5A0A"/>
    <w:multiLevelType w:val="hybridMultilevel"/>
    <w:tmpl w:val="D2AA410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8A0073"/>
    <w:multiLevelType w:val="hybridMultilevel"/>
    <w:tmpl w:val="138663D0"/>
    <w:lvl w:ilvl="0" w:tplc="20C0D24E">
      <w:start w:val="2"/>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351E38"/>
    <w:multiLevelType w:val="hybridMultilevel"/>
    <w:tmpl w:val="89E0F76A"/>
    <w:lvl w:ilvl="0" w:tplc="6A7A23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A4A25F0"/>
    <w:multiLevelType w:val="hybridMultilevel"/>
    <w:tmpl w:val="5DDE64CE"/>
    <w:lvl w:ilvl="0" w:tplc="20C0D2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771F7E"/>
    <w:multiLevelType w:val="hybridMultilevel"/>
    <w:tmpl w:val="DA545EC0"/>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553BB0"/>
    <w:multiLevelType w:val="hybridMultilevel"/>
    <w:tmpl w:val="3A927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F0E4B"/>
    <w:multiLevelType w:val="hybridMultilevel"/>
    <w:tmpl w:val="1A14CF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6E76CE1"/>
    <w:multiLevelType w:val="hybridMultilevel"/>
    <w:tmpl w:val="C100D3E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502575"/>
    <w:multiLevelType w:val="hybridMultilevel"/>
    <w:tmpl w:val="5A3E978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451D13"/>
    <w:multiLevelType w:val="hybridMultilevel"/>
    <w:tmpl w:val="4AC4D04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BFB5E55"/>
    <w:multiLevelType w:val="hybridMultilevel"/>
    <w:tmpl w:val="9196965E"/>
    <w:lvl w:ilvl="0" w:tplc="20C0D2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4D2847"/>
    <w:multiLevelType w:val="hybridMultilevel"/>
    <w:tmpl w:val="C5527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96530"/>
    <w:multiLevelType w:val="hybridMultilevel"/>
    <w:tmpl w:val="5976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7764388"/>
    <w:multiLevelType w:val="hybridMultilevel"/>
    <w:tmpl w:val="B210B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FE6433"/>
    <w:multiLevelType w:val="hybridMultilevel"/>
    <w:tmpl w:val="6E2E6ABE"/>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C4714D7"/>
    <w:multiLevelType w:val="hybridMultilevel"/>
    <w:tmpl w:val="80580FE4"/>
    <w:lvl w:ilvl="0" w:tplc="1A3CF1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843B22"/>
    <w:multiLevelType w:val="hybridMultilevel"/>
    <w:tmpl w:val="8D5CAD24"/>
    <w:lvl w:ilvl="0" w:tplc="04090001">
      <w:start w:val="1"/>
      <w:numFmt w:val="bullet"/>
      <w:lvlText w:val=""/>
      <w:lvlJc w:val="left"/>
      <w:pPr>
        <w:ind w:left="779" w:hanging="360"/>
      </w:pPr>
      <w:rPr>
        <w:rFonts w:ascii="Symbol" w:hAnsi="Symbol" w:hint="default"/>
      </w:rPr>
    </w:lvl>
    <w:lvl w:ilvl="1" w:tplc="04090003">
      <w:start w:val="1"/>
      <w:numFmt w:val="bullet"/>
      <w:lvlText w:val="o"/>
      <w:lvlJc w:val="left"/>
      <w:pPr>
        <w:ind w:left="1499" w:hanging="360"/>
      </w:pPr>
      <w:rPr>
        <w:rFonts w:ascii="Courier New" w:hAnsi="Courier New" w:cs="Courier New" w:hint="default"/>
      </w:rPr>
    </w:lvl>
    <w:lvl w:ilvl="2" w:tplc="04090005">
      <w:start w:val="1"/>
      <w:numFmt w:val="bullet"/>
      <w:lvlText w:val=""/>
      <w:lvlJc w:val="left"/>
      <w:pPr>
        <w:ind w:left="2219" w:hanging="360"/>
      </w:pPr>
      <w:rPr>
        <w:rFonts w:ascii="Wingdings" w:hAnsi="Wingdings" w:hint="default"/>
      </w:rPr>
    </w:lvl>
    <w:lvl w:ilvl="3" w:tplc="04090001">
      <w:start w:val="1"/>
      <w:numFmt w:val="bullet"/>
      <w:lvlText w:val=""/>
      <w:lvlJc w:val="left"/>
      <w:pPr>
        <w:ind w:left="2939" w:hanging="360"/>
      </w:pPr>
      <w:rPr>
        <w:rFonts w:ascii="Symbol" w:hAnsi="Symbol" w:hint="default"/>
      </w:rPr>
    </w:lvl>
    <w:lvl w:ilvl="4" w:tplc="04090003">
      <w:start w:val="1"/>
      <w:numFmt w:val="bullet"/>
      <w:lvlText w:val="o"/>
      <w:lvlJc w:val="left"/>
      <w:pPr>
        <w:ind w:left="3659" w:hanging="360"/>
      </w:pPr>
      <w:rPr>
        <w:rFonts w:ascii="Courier New" w:hAnsi="Courier New" w:cs="Courier New" w:hint="default"/>
      </w:rPr>
    </w:lvl>
    <w:lvl w:ilvl="5" w:tplc="04090005">
      <w:start w:val="1"/>
      <w:numFmt w:val="bullet"/>
      <w:lvlText w:val=""/>
      <w:lvlJc w:val="left"/>
      <w:pPr>
        <w:ind w:left="4379" w:hanging="360"/>
      </w:pPr>
      <w:rPr>
        <w:rFonts w:ascii="Wingdings" w:hAnsi="Wingdings" w:hint="default"/>
      </w:rPr>
    </w:lvl>
    <w:lvl w:ilvl="6" w:tplc="04090001">
      <w:start w:val="1"/>
      <w:numFmt w:val="bullet"/>
      <w:lvlText w:val=""/>
      <w:lvlJc w:val="left"/>
      <w:pPr>
        <w:ind w:left="5099" w:hanging="360"/>
      </w:pPr>
      <w:rPr>
        <w:rFonts w:ascii="Symbol" w:hAnsi="Symbol" w:hint="default"/>
      </w:rPr>
    </w:lvl>
    <w:lvl w:ilvl="7" w:tplc="04090003">
      <w:start w:val="1"/>
      <w:numFmt w:val="bullet"/>
      <w:lvlText w:val="o"/>
      <w:lvlJc w:val="left"/>
      <w:pPr>
        <w:ind w:left="5819" w:hanging="360"/>
      </w:pPr>
      <w:rPr>
        <w:rFonts w:ascii="Courier New" w:hAnsi="Courier New" w:cs="Courier New" w:hint="default"/>
      </w:rPr>
    </w:lvl>
    <w:lvl w:ilvl="8" w:tplc="04090005">
      <w:start w:val="1"/>
      <w:numFmt w:val="bullet"/>
      <w:lvlText w:val=""/>
      <w:lvlJc w:val="left"/>
      <w:pPr>
        <w:ind w:left="6539" w:hanging="360"/>
      </w:pPr>
      <w:rPr>
        <w:rFonts w:ascii="Wingdings" w:hAnsi="Wingdings" w:hint="default"/>
      </w:rPr>
    </w:lvl>
  </w:abstractNum>
  <w:abstractNum w:abstractNumId="23" w15:restartNumberingAfterBreak="0">
    <w:nsid w:val="51347DF0"/>
    <w:multiLevelType w:val="hybridMultilevel"/>
    <w:tmpl w:val="7CEE5A7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16E3E16"/>
    <w:multiLevelType w:val="hybridMultilevel"/>
    <w:tmpl w:val="1A405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BE2E2C"/>
    <w:multiLevelType w:val="hybridMultilevel"/>
    <w:tmpl w:val="1BF01848"/>
    <w:lvl w:ilvl="0" w:tplc="4010F06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054E85"/>
    <w:multiLevelType w:val="hybridMultilevel"/>
    <w:tmpl w:val="A924583C"/>
    <w:lvl w:ilvl="0" w:tplc="D79037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53D50E5"/>
    <w:multiLevelType w:val="hybridMultilevel"/>
    <w:tmpl w:val="5554E2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A1B1390"/>
    <w:multiLevelType w:val="hybridMultilevel"/>
    <w:tmpl w:val="826280F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C24124B"/>
    <w:multiLevelType w:val="hybridMultilevel"/>
    <w:tmpl w:val="F688735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5AB10DD"/>
    <w:multiLevelType w:val="hybridMultilevel"/>
    <w:tmpl w:val="3F700E6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6DA22752"/>
    <w:multiLevelType w:val="hybridMultilevel"/>
    <w:tmpl w:val="38F0DBB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D7A111E"/>
    <w:multiLevelType w:val="hybridMultilevel"/>
    <w:tmpl w:val="E4AAF68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F287520"/>
    <w:multiLevelType w:val="hybridMultilevel"/>
    <w:tmpl w:val="2DBE3F7C"/>
    <w:lvl w:ilvl="0" w:tplc="DE748E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566142"/>
    <w:multiLevelType w:val="hybridMultilevel"/>
    <w:tmpl w:val="6B74DB92"/>
    <w:lvl w:ilvl="0" w:tplc="FDAE91E4">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6"/>
  </w:num>
  <w:num w:numId="3">
    <w:abstractNumId w:val="5"/>
  </w:num>
  <w:num w:numId="4">
    <w:abstractNumId w:val="34"/>
  </w:num>
  <w:num w:numId="5">
    <w:abstractNumId w:val="24"/>
  </w:num>
  <w:num w:numId="6">
    <w:abstractNumId w:val="10"/>
  </w:num>
  <w:num w:numId="7">
    <w:abstractNumId w:val="17"/>
  </w:num>
  <w:num w:numId="8">
    <w:abstractNumId w:val="19"/>
  </w:num>
  <w:num w:numId="9">
    <w:abstractNumId w:val="12"/>
  </w:num>
  <w:num w:numId="10">
    <w:abstractNumId w:val="14"/>
  </w:num>
  <w:num w:numId="11">
    <w:abstractNumId w:val="7"/>
  </w:num>
  <w:num w:numId="12">
    <w:abstractNumId w:val="28"/>
  </w:num>
  <w:num w:numId="13">
    <w:abstractNumId w:val="33"/>
  </w:num>
  <w:num w:numId="14">
    <w:abstractNumId w:val="11"/>
  </w:num>
  <w:num w:numId="15">
    <w:abstractNumId w:val="32"/>
  </w:num>
  <w:num w:numId="16">
    <w:abstractNumId w:val="20"/>
  </w:num>
  <w:num w:numId="17">
    <w:abstractNumId w:val="25"/>
  </w:num>
  <w:num w:numId="18">
    <w:abstractNumId w:val="2"/>
  </w:num>
  <w:num w:numId="19">
    <w:abstractNumId w:val="35"/>
  </w:num>
  <w:num w:numId="20">
    <w:abstractNumId w:val="13"/>
  </w:num>
  <w:num w:numId="21">
    <w:abstractNumId w:val="21"/>
  </w:num>
  <w:num w:numId="22">
    <w:abstractNumId w:val="4"/>
  </w:num>
  <w:num w:numId="23">
    <w:abstractNumId w:val="6"/>
  </w:num>
  <w:num w:numId="24">
    <w:abstractNumId w:val="0"/>
  </w:num>
  <w:num w:numId="25">
    <w:abstractNumId w:val="29"/>
  </w:num>
  <w:num w:numId="26">
    <w:abstractNumId w:val="15"/>
  </w:num>
  <w:num w:numId="27">
    <w:abstractNumId w:val="23"/>
  </w:num>
  <w:num w:numId="28">
    <w:abstractNumId w:val="22"/>
  </w:num>
  <w:num w:numId="29">
    <w:abstractNumId w:val="16"/>
  </w:num>
  <w:num w:numId="30">
    <w:abstractNumId w:val="31"/>
  </w:num>
  <w:num w:numId="31">
    <w:abstractNumId w:val="18"/>
  </w:num>
  <w:num w:numId="32">
    <w:abstractNumId w:val="3"/>
  </w:num>
  <w:num w:numId="33">
    <w:abstractNumId w:val="8"/>
  </w:num>
  <w:num w:numId="34">
    <w:abstractNumId w:val="1"/>
  </w:num>
  <w:num w:numId="35">
    <w:abstractNumId w:val="27"/>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hideSpellingErrors/>
  <w:activeWritingStyle w:appName="MSWord" w:lang="en-GB" w:vendorID="64" w:dllVersion="0" w:nlCheck="1" w:checkStyle="0"/>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EAC"/>
    <w:rsid w:val="00007B6D"/>
    <w:rsid w:val="00013C33"/>
    <w:rsid w:val="00047275"/>
    <w:rsid w:val="00050DEB"/>
    <w:rsid w:val="00053746"/>
    <w:rsid w:val="000557B8"/>
    <w:rsid w:val="000621C1"/>
    <w:rsid w:val="000729EC"/>
    <w:rsid w:val="00074FD0"/>
    <w:rsid w:val="00076F6F"/>
    <w:rsid w:val="00084114"/>
    <w:rsid w:val="00085AA8"/>
    <w:rsid w:val="00087C72"/>
    <w:rsid w:val="000952DC"/>
    <w:rsid w:val="000A4826"/>
    <w:rsid w:val="000A7CCE"/>
    <w:rsid w:val="000B5BE2"/>
    <w:rsid w:val="000C1B14"/>
    <w:rsid w:val="000D1557"/>
    <w:rsid w:val="000D3889"/>
    <w:rsid w:val="000D3EC1"/>
    <w:rsid w:val="000E0706"/>
    <w:rsid w:val="000F50D7"/>
    <w:rsid w:val="000F65EE"/>
    <w:rsid w:val="001050AE"/>
    <w:rsid w:val="00106C9F"/>
    <w:rsid w:val="0011202B"/>
    <w:rsid w:val="00115503"/>
    <w:rsid w:val="00122A1C"/>
    <w:rsid w:val="0012597C"/>
    <w:rsid w:val="00131C46"/>
    <w:rsid w:val="00132FEA"/>
    <w:rsid w:val="00141159"/>
    <w:rsid w:val="00141606"/>
    <w:rsid w:val="001479C1"/>
    <w:rsid w:val="00152200"/>
    <w:rsid w:val="00152F18"/>
    <w:rsid w:val="001632E3"/>
    <w:rsid w:val="00167815"/>
    <w:rsid w:val="00192C21"/>
    <w:rsid w:val="00193028"/>
    <w:rsid w:val="001A0374"/>
    <w:rsid w:val="001A4207"/>
    <w:rsid w:val="001A5C73"/>
    <w:rsid w:val="001B243F"/>
    <w:rsid w:val="001C3AED"/>
    <w:rsid w:val="001D5617"/>
    <w:rsid w:val="001E3173"/>
    <w:rsid w:val="001E4714"/>
    <w:rsid w:val="001E7ACC"/>
    <w:rsid w:val="00201C93"/>
    <w:rsid w:val="002145BA"/>
    <w:rsid w:val="00214BAD"/>
    <w:rsid w:val="00215133"/>
    <w:rsid w:val="00217274"/>
    <w:rsid w:val="002208A7"/>
    <w:rsid w:val="00221B24"/>
    <w:rsid w:val="00222CF1"/>
    <w:rsid w:val="00225710"/>
    <w:rsid w:val="002257EE"/>
    <w:rsid w:val="002349E6"/>
    <w:rsid w:val="002351A0"/>
    <w:rsid w:val="00237B7F"/>
    <w:rsid w:val="00240EFB"/>
    <w:rsid w:val="0024577D"/>
    <w:rsid w:val="00255134"/>
    <w:rsid w:val="00257ED9"/>
    <w:rsid w:val="002661A0"/>
    <w:rsid w:val="002665D7"/>
    <w:rsid w:val="00267B52"/>
    <w:rsid w:val="002706B5"/>
    <w:rsid w:val="00270D09"/>
    <w:rsid w:val="00274E14"/>
    <w:rsid w:val="00275CA4"/>
    <w:rsid w:val="0027710A"/>
    <w:rsid w:val="002832C2"/>
    <w:rsid w:val="0028666A"/>
    <w:rsid w:val="00292489"/>
    <w:rsid w:val="0029339C"/>
    <w:rsid w:val="002A03A3"/>
    <w:rsid w:val="002A4F5D"/>
    <w:rsid w:val="002A689D"/>
    <w:rsid w:val="002A6F13"/>
    <w:rsid w:val="002B1728"/>
    <w:rsid w:val="002B4616"/>
    <w:rsid w:val="002B4EC6"/>
    <w:rsid w:val="002C53D8"/>
    <w:rsid w:val="002C70B3"/>
    <w:rsid w:val="002D1594"/>
    <w:rsid w:val="002D444E"/>
    <w:rsid w:val="002D44EA"/>
    <w:rsid w:val="002E7E1E"/>
    <w:rsid w:val="002F1808"/>
    <w:rsid w:val="002F2F8E"/>
    <w:rsid w:val="00310FD8"/>
    <w:rsid w:val="00311061"/>
    <w:rsid w:val="00314A05"/>
    <w:rsid w:val="00320A5A"/>
    <w:rsid w:val="003424FC"/>
    <w:rsid w:val="00351C6C"/>
    <w:rsid w:val="003568AC"/>
    <w:rsid w:val="00362814"/>
    <w:rsid w:val="00371004"/>
    <w:rsid w:val="00385C12"/>
    <w:rsid w:val="003877B1"/>
    <w:rsid w:val="00394956"/>
    <w:rsid w:val="003A33BD"/>
    <w:rsid w:val="003A6CBF"/>
    <w:rsid w:val="003A7171"/>
    <w:rsid w:val="003B0187"/>
    <w:rsid w:val="003B0F09"/>
    <w:rsid w:val="003B6C1F"/>
    <w:rsid w:val="003C129D"/>
    <w:rsid w:val="003D0FED"/>
    <w:rsid w:val="003E36C9"/>
    <w:rsid w:val="003F642D"/>
    <w:rsid w:val="003F7BA1"/>
    <w:rsid w:val="003F7F51"/>
    <w:rsid w:val="00402E59"/>
    <w:rsid w:val="00403FDB"/>
    <w:rsid w:val="0041035F"/>
    <w:rsid w:val="004151A0"/>
    <w:rsid w:val="00422CFF"/>
    <w:rsid w:val="004301FF"/>
    <w:rsid w:val="00431888"/>
    <w:rsid w:val="00432329"/>
    <w:rsid w:val="0043366F"/>
    <w:rsid w:val="0044100D"/>
    <w:rsid w:val="004415E1"/>
    <w:rsid w:val="00441789"/>
    <w:rsid w:val="00446E8A"/>
    <w:rsid w:val="0044799D"/>
    <w:rsid w:val="00451D9F"/>
    <w:rsid w:val="004713DD"/>
    <w:rsid w:val="004750C4"/>
    <w:rsid w:val="00477686"/>
    <w:rsid w:val="00484708"/>
    <w:rsid w:val="00496D28"/>
    <w:rsid w:val="004A239B"/>
    <w:rsid w:val="004B085E"/>
    <w:rsid w:val="004B21D8"/>
    <w:rsid w:val="004B3650"/>
    <w:rsid w:val="004B4705"/>
    <w:rsid w:val="004C1E55"/>
    <w:rsid w:val="004D1871"/>
    <w:rsid w:val="004D1EBF"/>
    <w:rsid w:val="004D3D3F"/>
    <w:rsid w:val="004D5882"/>
    <w:rsid w:val="004E5E6A"/>
    <w:rsid w:val="004E79F0"/>
    <w:rsid w:val="004F4239"/>
    <w:rsid w:val="004F51D1"/>
    <w:rsid w:val="00500536"/>
    <w:rsid w:val="00501AAC"/>
    <w:rsid w:val="0050376D"/>
    <w:rsid w:val="00511EAC"/>
    <w:rsid w:val="00515823"/>
    <w:rsid w:val="00523CDE"/>
    <w:rsid w:val="00532388"/>
    <w:rsid w:val="005328F7"/>
    <w:rsid w:val="00532A09"/>
    <w:rsid w:val="00534608"/>
    <w:rsid w:val="00535D92"/>
    <w:rsid w:val="00544347"/>
    <w:rsid w:val="00546D87"/>
    <w:rsid w:val="005506F0"/>
    <w:rsid w:val="00557397"/>
    <w:rsid w:val="005603E9"/>
    <w:rsid w:val="00560E90"/>
    <w:rsid w:val="005666E5"/>
    <w:rsid w:val="00581FD9"/>
    <w:rsid w:val="005A2ED9"/>
    <w:rsid w:val="005A2F39"/>
    <w:rsid w:val="005A62B1"/>
    <w:rsid w:val="005A6C5B"/>
    <w:rsid w:val="005B1F0C"/>
    <w:rsid w:val="005B2CF7"/>
    <w:rsid w:val="005B2FBA"/>
    <w:rsid w:val="005B619E"/>
    <w:rsid w:val="005C2E29"/>
    <w:rsid w:val="005C56FA"/>
    <w:rsid w:val="005C7A37"/>
    <w:rsid w:val="005C7D1B"/>
    <w:rsid w:val="005D5E48"/>
    <w:rsid w:val="005D6344"/>
    <w:rsid w:val="005D6D0F"/>
    <w:rsid w:val="005D789A"/>
    <w:rsid w:val="005E3769"/>
    <w:rsid w:val="005F0157"/>
    <w:rsid w:val="005F5FA1"/>
    <w:rsid w:val="005F7080"/>
    <w:rsid w:val="00605B49"/>
    <w:rsid w:val="00607ECC"/>
    <w:rsid w:val="0061252A"/>
    <w:rsid w:val="00614821"/>
    <w:rsid w:val="00626721"/>
    <w:rsid w:val="00630470"/>
    <w:rsid w:val="00642E69"/>
    <w:rsid w:val="006435F1"/>
    <w:rsid w:val="00645A16"/>
    <w:rsid w:val="006502A4"/>
    <w:rsid w:val="006505D2"/>
    <w:rsid w:val="00652213"/>
    <w:rsid w:val="006527DE"/>
    <w:rsid w:val="0066284A"/>
    <w:rsid w:val="00667D51"/>
    <w:rsid w:val="00680C36"/>
    <w:rsid w:val="00681845"/>
    <w:rsid w:val="00682FB5"/>
    <w:rsid w:val="00683917"/>
    <w:rsid w:val="00691062"/>
    <w:rsid w:val="00691CC8"/>
    <w:rsid w:val="00694482"/>
    <w:rsid w:val="006A02C1"/>
    <w:rsid w:val="006A6664"/>
    <w:rsid w:val="006A7B67"/>
    <w:rsid w:val="006B22CD"/>
    <w:rsid w:val="006B2E83"/>
    <w:rsid w:val="006C032D"/>
    <w:rsid w:val="006C47C0"/>
    <w:rsid w:val="006C493A"/>
    <w:rsid w:val="006C5B54"/>
    <w:rsid w:val="006D1B64"/>
    <w:rsid w:val="006D2521"/>
    <w:rsid w:val="006D34A0"/>
    <w:rsid w:val="006E1BB1"/>
    <w:rsid w:val="006E3B16"/>
    <w:rsid w:val="006E52F1"/>
    <w:rsid w:val="006F55F7"/>
    <w:rsid w:val="00701F1D"/>
    <w:rsid w:val="00706194"/>
    <w:rsid w:val="00711724"/>
    <w:rsid w:val="00712C96"/>
    <w:rsid w:val="007144BE"/>
    <w:rsid w:val="00716DF0"/>
    <w:rsid w:val="007223E6"/>
    <w:rsid w:val="00726DFD"/>
    <w:rsid w:val="0072747A"/>
    <w:rsid w:val="00735296"/>
    <w:rsid w:val="007458D9"/>
    <w:rsid w:val="00752CF6"/>
    <w:rsid w:val="0075390D"/>
    <w:rsid w:val="00756C5D"/>
    <w:rsid w:val="00763D8A"/>
    <w:rsid w:val="00763F22"/>
    <w:rsid w:val="0076406C"/>
    <w:rsid w:val="0076589E"/>
    <w:rsid w:val="00773BE3"/>
    <w:rsid w:val="007874EB"/>
    <w:rsid w:val="00793FA3"/>
    <w:rsid w:val="00795F98"/>
    <w:rsid w:val="007A1AF7"/>
    <w:rsid w:val="007A2FD2"/>
    <w:rsid w:val="007B12BC"/>
    <w:rsid w:val="007D4247"/>
    <w:rsid w:val="007D57E3"/>
    <w:rsid w:val="007D5EA6"/>
    <w:rsid w:val="007E010C"/>
    <w:rsid w:val="007F574F"/>
    <w:rsid w:val="0080235B"/>
    <w:rsid w:val="008051F8"/>
    <w:rsid w:val="00806EAC"/>
    <w:rsid w:val="008109D1"/>
    <w:rsid w:val="00821BB4"/>
    <w:rsid w:val="00822C55"/>
    <w:rsid w:val="008254F8"/>
    <w:rsid w:val="00857943"/>
    <w:rsid w:val="00860A73"/>
    <w:rsid w:val="00862525"/>
    <w:rsid w:val="0086530D"/>
    <w:rsid w:val="00865F74"/>
    <w:rsid w:val="00867537"/>
    <w:rsid w:val="00875592"/>
    <w:rsid w:val="00880F5D"/>
    <w:rsid w:val="00882466"/>
    <w:rsid w:val="0088470A"/>
    <w:rsid w:val="00891261"/>
    <w:rsid w:val="00896AC9"/>
    <w:rsid w:val="00897207"/>
    <w:rsid w:val="008A17F1"/>
    <w:rsid w:val="008A59E9"/>
    <w:rsid w:val="008B1B06"/>
    <w:rsid w:val="008B54CB"/>
    <w:rsid w:val="008B67D2"/>
    <w:rsid w:val="008C02B5"/>
    <w:rsid w:val="008C1E35"/>
    <w:rsid w:val="008C5331"/>
    <w:rsid w:val="008D629D"/>
    <w:rsid w:val="008E333E"/>
    <w:rsid w:val="008F26AA"/>
    <w:rsid w:val="008F2768"/>
    <w:rsid w:val="008F7101"/>
    <w:rsid w:val="008F7E90"/>
    <w:rsid w:val="009064A7"/>
    <w:rsid w:val="00937091"/>
    <w:rsid w:val="00942324"/>
    <w:rsid w:val="00942593"/>
    <w:rsid w:val="00944145"/>
    <w:rsid w:val="00945502"/>
    <w:rsid w:val="00950F6F"/>
    <w:rsid w:val="00951CAB"/>
    <w:rsid w:val="00955D88"/>
    <w:rsid w:val="00963D7D"/>
    <w:rsid w:val="009648F7"/>
    <w:rsid w:val="00971EDC"/>
    <w:rsid w:val="009735A9"/>
    <w:rsid w:val="009739A5"/>
    <w:rsid w:val="00976905"/>
    <w:rsid w:val="00977181"/>
    <w:rsid w:val="00991F05"/>
    <w:rsid w:val="009A3624"/>
    <w:rsid w:val="009A66F9"/>
    <w:rsid w:val="009A76B8"/>
    <w:rsid w:val="009B5DA9"/>
    <w:rsid w:val="009D3347"/>
    <w:rsid w:val="009D4796"/>
    <w:rsid w:val="009D5D51"/>
    <w:rsid w:val="009E1DB0"/>
    <w:rsid w:val="009F56C2"/>
    <w:rsid w:val="00A0267F"/>
    <w:rsid w:val="00A03A17"/>
    <w:rsid w:val="00A072E6"/>
    <w:rsid w:val="00A11C09"/>
    <w:rsid w:val="00A123EA"/>
    <w:rsid w:val="00A12FD1"/>
    <w:rsid w:val="00A14D6C"/>
    <w:rsid w:val="00A159E4"/>
    <w:rsid w:val="00A20A0E"/>
    <w:rsid w:val="00A242C1"/>
    <w:rsid w:val="00A245F7"/>
    <w:rsid w:val="00A26D08"/>
    <w:rsid w:val="00A31C9B"/>
    <w:rsid w:val="00A3298C"/>
    <w:rsid w:val="00A368D1"/>
    <w:rsid w:val="00A37176"/>
    <w:rsid w:val="00A42AF8"/>
    <w:rsid w:val="00A43992"/>
    <w:rsid w:val="00A524EE"/>
    <w:rsid w:val="00A56066"/>
    <w:rsid w:val="00A57DD3"/>
    <w:rsid w:val="00A678AF"/>
    <w:rsid w:val="00A868E9"/>
    <w:rsid w:val="00A86A9F"/>
    <w:rsid w:val="00A873C4"/>
    <w:rsid w:val="00A87D42"/>
    <w:rsid w:val="00A95747"/>
    <w:rsid w:val="00A9671D"/>
    <w:rsid w:val="00A97C3A"/>
    <w:rsid w:val="00AA0C63"/>
    <w:rsid w:val="00AA1745"/>
    <w:rsid w:val="00AA1ADD"/>
    <w:rsid w:val="00AA1F6B"/>
    <w:rsid w:val="00AA42A1"/>
    <w:rsid w:val="00AA76C2"/>
    <w:rsid w:val="00AB1C08"/>
    <w:rsid w:val="00AC17FA"/>
    <w:rsid w:val="00AD2177"/>
    <w:rsid w:val="00AE1AAC"/>
    <w:rsid w:val="00AE1CB2"/>
    <w:rsid w:val="00AE1D96"/>
    <w:rsid w:val="00AE7BAA"/>
    <w:rsid w:val="00AF0340"/>
    <w:rsid w:val="00AF202E"/>
    <w:rsid w:val="00AF543F"/>
    <w:rsid w:val="00B03A61"/>
    <w:rsid w:val="00B06CE5"/>
    <w:rsid w:val="00B107DA"/>
    <w:rsid w:val="00B171E8"/>
    <w:rsid w:val="00B17257"/>
    <w:rsid w:val="00B21C95"/>
    <w:rsid w:val="00B221C3"/>
    <w:rsid w:val="00B30F80"/>
    <w:rsid w:val="00B335EB"/>
    <w:rsid w:val="00B36CA2"/>
    <w:rsid w:val="00B45C1C"/>
    <w:rsid w:val="00B46752"/>
    <w:rsid w:val="00B471B0"/>
    <w:rsid w:val="00B573B1"/>
    <w:rsid w:val="00B63950"/>
    <w:rsid w:val="00B65785"/>
    <w:rsid w:val="00B71019"/>
    <w:rsid w:val="00B76C88"/>
    <w:rsid w:val="00B826AF"/>
    <w:rsid w:val="00B96B92"/>
    <w:rsid w:val="00B978CA"/>
    <w:rsid w:val="00BA3075"/>
    <w:rsid w:val="00BA7C88"/>
    <w:rsid w:val="00BB3B79"/>
    <w:rsid w:val="00BB53E6"/>
    <w:rsid w:val="00BB5CF3"/>
    <w:rsid w:val="00BC512C"/>
    <w:rsid w:val="00BC609E"/>
    <w:rsid w:val="00BD62C8"/>
    <w:rsid w:val="00BE39D0"/>
    <w:rsid w:val="00BF00DF"/>
    <w:rsid w:val="00BF1D96"/>
    <w:rsid w:val="00BF52A9"/>
    <w:rsid w:val="00C03071"/>
    <w:rsid w:val="00C05223"/>
    <w:rsid w:val="00C11C98"/>
    <w:rsid w:val="00C14192"/>
    <w:rsid w:val="00C149EE"/>
    <w:rsid w:val="00C15809"/>
    <w:rsid w:val="00C1697B"/>
    <w:rsid w:val="00C229D6"/>
    <w:rsid w:val="00C23008"/>
    <w:rsid w:val="00C251DE"/>
    <w:rsid w:val="00C3686F"/>
    <w:rsid w:val="00C420DC"/>
    <w:rsid w:val="00C4323D"/>
    <w:rsid w:val="00C476A7"/>
    <w:rsid w:val="00C50A14"/>
    <w:rsid w:val="00C5493B"/>
    <w:rsid w:val="00C671F1"/>
    <w:rsid w:val="00C70152"/>
    <w:rsid w:val="00C712E0"/>
    <w:rsid w:val="00C72807"/>
    <w:rsid w:val="00C776A0"/>
    <w:rsid w:val="00C851E9"/>
    <w:rsid w:val="00C86A6D"/>
    <w:rsid w:val="00C86B2A"/>
    <w:rsid w:val="00C96332"/>
    <w:rsid w:val="00CA142A"/>
    <w:rsid w:val="00CA6DCA"/>
    <w:rsid w:val="00CB0267"/>
    <w:rsid w:val="00CD131B"/>
    <w:rsid w:val="00CD37A9"/>
    <w:rsid w:val="00CD47B0"/>
    <w:rsid w:val="00CE0EAD"/>
    <w:rsid w:val="00CE2DFE"/>
    <w:rsid w:val="00CF6132"/>
    <w:rsid w:val="00D04234"/>
    <w:rsid w:val="00D054D3"/>
    <w:rsid w:val="00D14BA0"/>
    <w:rsid w:val="00D24B0E"/>
    <w:rsid w:val="00D27F7B"/>
    <w:rsid w:val="00D37BAC"/>
    <w:rsid w:val="00D43A83"/>
    <w:rsid w:val="00D44127"/>
    <w:rsid w:val="00D509CC"/>
    <w:rsid w:val="00D5640D"/>
    <w:rsid w:val="00D573F6"/>
    <w:rsid w:val="00D57B3B"/>
    <w:rsid w:val="00D63E7A"/>
    <w:rsid w:val="00D72A67"/>
    <w:rsid w:val="00D76015"/>
    <w:rsid w:val="00D81254"/>
    <w:rsid w:val="00D867A9"/>
    <w:rsid w:val="00D94180"/>
    <w:rsid w:val="00D95372"/>
    <w:rsid w:val="00DA0D36"/>
    <w:rsid w:val="00DA1B21"/>
    <w:rsid w:val="00DA2408"/>
    <w:rsid w:val="00DA6909"/>
    <w:rsid w:val="00DB0E92"/>
    <w:rsid w:val="00DB48E5"/>
    <w:rsid w:val="00DB57D5"/>
    <w:rsid w:val="00DC100C"/>
    <w:rsid w:val="00DD09D5"/>
    <w:rsid w:val="00DD5916"/>
    <w:rsid w:val="00DE026F"/>
    <w:rsid w:val="00DE1306"/>
    <w:rsid w:val="00DE2C70"/>
    <w:rsid w:val="00DE3FA5"/>
    <w:rsid w:val="00DE5B12"/>
    <w:rsid w:val="00E03EA0"/>
    <w:rsid w:val="00E04996"/>
    <w:rsid w:val="00E07575"/>
    <w:rsid w:val="00E1502E"/>
    <w:rsid w:val="00E1628F"/>
    <w:rsid w:val="00E3795C"/>
    <w:rsid w:val="00E37C3C"/>
    <w:rsid w:val="00E40E83"/>
    <w:rsid w:val="00E4276F"/>
    <w:rsid w:val="00E434C8"/>
    <w:rsid w:val="00E43DA4"/>
    <w:rsid w:val="00E5606D"/>
    <w:rsid w:val="00E561BF"/>
    <w:rsid w:val="00E67373"/>
    <w:rsid w:val="00E676C3"/>
    <w:rsid w:val="00E7187A"/>
    <w:rsid w:val="00E757D7"/>
    <w:rsid w:val="00E76615"/>
    <w:rsid w:val="00E8137B"/>
    <w:rsid w:val="00E856B6"/>
    <w:rsid w:val="00E91B5F"/>
    <w:rsid w:val="00E95B56"/>
    <w:rsid w:val="00EA185B"/>
    <w:rsid w:val="00EA5163"/>
    <w:rsid w:val="00EB0575"/>
    <w:rsid w:val="00EB3300"/>
    <w:rsid w:val="00EB632D"/>
    <w:rsid w:val="00EB6E4C"/>
    <w:rsid w:val="00EC15DC"/>
    <w:rsid w:val="00EC2508"/>
    <w:rsid w:val="00EC6C54"/>
    <w:rsid w:val="00ED2B30"/>
    <w:rsid w:val="00F001F4"/>
    <w:rsid w:val="00F022B7"/>
    <w:rsid w:val="00F103E3"/>
    <w:rsid w:val="00F12427"/>
    <w:rsid w:val="00F12DD4"/>
    <w:rsid w:val="00F23B6C"/>
    <w:rsid w:val="00F250E7"/>
    <w:rsid w:val="00F30A86"/>
    <w:rsid w:val="00F33CF5"/>
    <w:rsid w:val="00F36C4E"/>
    <w:rsid w:val="00F410D4"/>
    <w:rsid w:val="00F4475B"/>
    <w:rsid w:val="00F45BE4"/>
    <w:rsid w:val="00F51896"/>
    <w:rsid w:val="00F55CC3"/>
    <w:rsid w:val="00F618CC"/>
    <w:rsid w:val="00F634F5"/>
    <w:rsid w:val="00F747AD"/>
    <w:rsid w:val="00F801B5"/>
    <w:rsid w:val="00F861BC"/>
    <w:rsid w:val="00F95AC3"/>
    <w:rsid w:val="00FA3CDF"/>
    <w:rsid w:val="00FB3159"/>
    <w:rsid w:val="00FC4667"/>
    <w:rsid w:val="00FD4C37"/>
    <w:rsid w:val="00FD6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ED4DB9"/>
  <w15:chartTrackingRefBased/>
  <w15:docId w15:val="{2C13F54D-D007-4646-B39F-029AB3F96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7A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CD37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D37A9"/>
    <w:pPr>
      <w:pBdr>
        <w:top w:val="none" w:sz="0" w:space="0" w:color="auto"/>
      </w:pBdr>
      <w:spacing w:before="180"/>
      <w:outlineLvl w:val="1"/>
    </w:pPr>
    <w:rPr>
      <w:sz w:val="32"/>
    </w:rPr>
  </w:style>
  <w:style w:type="paragraph" w:styleId="Heading3">
    <w:name w:val="heading 3"/>
    <w:basedOn w:val="Heading2"/>
    <w:next w:val="Normal"/>
    <w:qFormat/>
    <w:rsid w:val="00CD37A9"/>
    <w:pPr>
      <w:spacing w:before="120"/>
      <w:outlineLvl w:val="2"/>
    </w:pPr>
    <w:rPr>
      <w:sz w:val="28"/>
    </w:rPr>
  </w:style>
  <w:style w:type="paragraph" w:styleId="Heading4">
    <w:name w:val="heading 4"/>
    <w:basedOn w:val="Heading3"/>
    <w:next w:val="Normal"/>
    <w:qFormat/>
    <w:rsid w:val="00CD37A9"/>
    <w:pPr>
      <w:ind w:left="1418" w:hanging="1418"/>
      <w:outlineLvl w:val="3"/>
    </w:pPr>
    <w:rPr>
      <w:sz w:val="24"/>
    </w:rPr>
  </w:style>
  <w:style w:type="paragraph" w:styleId="Heading5">
    <w:name w:val="heading 5"/>
    <w:basedOn w:val="Heading4"/>
    <w:next w:val="Normal"/>
    <w:qFormat/>
    <w:rsid w:val="00CD37A9"/>
    <w:pPr>
      <w:ind w:left="1701" w:hanging="1701"/>
      <w:outlineLvl w:val="4"/>
    </w:pPr>
    <w:rPr>
      <w:sz w:val="22"/>
    </w:rPr>
  </w:style>
  <w:style w:type="paragraph" w:styleId="Heading6">
    <w:name w:val="heading 6"/>
    <w:basedOn w:val="H6"/>
    <w:next w:val="Normal"/>
    <w:qFormat/>
    <w:rsid w:val="00CD37A9"/>
    <w:pPr>
      <w:outlineLvl w:val="5"/>
    </w:pPr>
  </w:style>
  <w:style w:type="paragraph" w:styleId="Heading7">
    <w:name w:val="heading 7"/>
    <w:basedOn w:val="H6"/>
    <w:next w:val="Normal"/>
    <w:qFormat/>
    <w:rsid w:val="00CD37A9"/>
    <w:pPr>
      <w:outlineLvl w:val="6"/>
    </w:pPr>
  </w:style>
  <w:style w:type="paragraph" w:styleId="Heading8">
    <w:name w:val="heading 8"/>
    <w:basedOn w:val="Heading1"/>
    <w:next w:val="Normal"/>
    <w:qFormat/>
    <w:rsid w:val="00CD37A9"/>
    <w:pPr>
      <w:ind w:left="0" w:firstLine="0"/>
      <w:outlineLvl w:val="7"/>
    </w:pPr>
  </w:style>
  <w:style w:type="paragraph" w:styleId="Heading9">
    <w:name w:val="heading 9"/>
    <w:basedOn w:val="Heading8"/>
    <w:next w:val="Normal"/>
    <w:qFormat/>
    <w:rsid w:val="00CD37A9"/>
    <w:pPr>
      <w:outlineLvl w:val="8"/>
    </w:pPr>
  </w:style>
  <w:style w:type="character" w:default="1" w:styleId="DefaultParagraphFont">
    <w:name w:val="Default Paragraph Font"/>
    <w:semiHidden/>
    <w:rsid w:val="00CD37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37A9"/>
  </w:style>
  <w:style w:type="paragraph" w:styleId="TOC8">
    <w:name w:val="toc 8"/>
    <w:basedOn w:val="TOC1"/>
    <w:semiHidden/>
    <w:rsid w:val="00CD37A9"/>
    <w:pPr>
      <w:spacing w:before="180"/>
      <w:ind w:left="2693" w:hanging="2693"/>
    </w:pPr>
    <w:rPr>
      <w:b/>
    </w:rPr>
  </w:style>
  <w:style w:type="paragraph" w:styleId="TOC1">
    <w:name w:val="toc 1"/>
    <w:semiHidden/>
    <w:rsid w:val="00CD37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D37A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CD37A9"/>
    <w:pPr>
      <w:ind w:left="1701" w:hanging="1701"/>
    </w:pPr>
  </w:style>
  <w:style w:type="paragraph" w:styleId="TOC4">
    <w:name w:val="toc 4"/>
    <w:basedOn w:val="TOC3"/>
    <w:semiHidden/>
    <w:rsid w:val="00CD37A9"/>
    <w:pPr>
      <w:ind w:left="1418" w:hanging="1418"/>
    </w:pPr>
  </w:style>
  <w:style w:type="paragraph" w:styleId="TOC3">
    <w:name w:val="toc 3"/>
    <w:basedOn w:val="TOC2"/>
    <w:semiHidden/>
    <w:rsid w:val="00CD37A9"/>
    <w:pPr>
      <w:ind w:left="1134" w:hanging="1134"/>
    </w:pPr>
  </w:style>
  <w:style w:type="paragraph" w:styleId="TOC2">
    <w:name w:val="toc 2"/>
    <w:basedOn w:val="TOC1"/>
    <w:semiHidden/>
    <w:rsid w:val="00CD37A9"/>
    <w:pPr>
      <w:keepNext w:val="0"/>
      <w:spacing w:before="0"/>
      <w:ind w:left="851" w:hanging="851"/>
    </w:pPr>
    <w:rPr>
      <w:sz w:val="20"/>
    </w:rPr>
  </w:style>
  <w:style w:type="paragraph" w:styleId="Index2">
    <w:name w:val="index 2"/>
    <w:basedOn w:val="Index1"/>
    <w:semiHidden/>
    <w:rsid w:val="00CD37A9"/>
    <w:pPr>
      <w:ind w:left="284"/>
    </w:pPr>
  </w:style>
  <w:style w:type="paragraph" w:styleId="Index1">
    <w:name w:val="index 1"/>
    <w:basedOn w:val="Normal"/>
    <w:semiHidden/>
    <w:rsid w:val="00CD37A9"/>
    <w:pPr>
      <w:keepLines/>
      <w:spacing w:after="0"/>
    </w:pPr>
  </w:style>
  <w:style w:type="paragraph" w:customStyle="1" w:styleId="ZH">
    <w:name w:val="ZH"/>
    <w:rsid w:val="00CD37A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D37A9"/>
    <w:pPr>
      <w:outlineLvl w:val="9"/>
    </w:pPr>
  </w:style>
  <w:style w:type="paragraph" w:styleId="ListNumber2">
    <w:name w:val="List Number 2"/>
    <w:basedOn w:val="ListNumber"/>
    <w:semiHidden/>
    <w:rsid w:val="00CD37A9"/>
    <w:pPr>
      <w:ind w:left="851"/>
    </w:pPr>
  </w:style>
  <w:style w:type="paragraph" w:styleId="Header">
    <w:name w:val="header"/>
    <w:semiHidden/>
    <w:rsid w:val="00CD37A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CD37A9"/>
    <w:rPr>
      <w:b/>
      <w:position w:val="6"/>
      <w:sz w:val="16"/>
    </w:rPr>
  </w:style>
  <w:style w:type="paragraph" w:styleId="FootnoteText">
    <w:name w:val="footnote text"/>
    <w:basedOn w:val="Normal"/>
    <w:semiHidden/>
    <w:rsid w:val="00CD37A9"/>
    <w:pPr>
      <w:keepLines/>
      <w:spacing w:after="0"/>
      <w:ind w:left="454" w:hanging="454"/>
    </w:pPr>
    <w:rPr>
      <w:sz w:val="16"/>
    </w:rPr>
  </w:style>
  <w:style w:type="paragraph" w:customStyle="1" w:styleId="TAH">
    <w:name w:val="TAH"/>
    <w:basedOn w:val="TAC"/>
    <w:rsid w:val="00CD37A9"/>
    <w:rPr>
      <w:b/>
    </w:rPr>
  </w:style>
  <w:style w:type="paragraph" w:customStyle="1" w:styleId="TAC">
    <w:name w:val="TAC"/>
    <w:basedOn w:val="TAL"/>
    <w:rsid w:val="00CD37A9"/>
    <w:pPr>
      <w:jc w:val="center"/>
    </w:pPr>
  </w:style>
  <w:style w:type="paragraph" w:customStyle="1" w:styleId="TF">
    <w:name w:val="TF"/>
    <w:basedOn w:val="TH"/>
    <w:rsid w:val="00CD37A9"/>
    <w:pPr>
      <w:keepNext w:val="0"/>
      <w:spacing w:before="0" w:after="240"/>
    </w:pPr>
  </w:style>
  <w:style w:type="paragraph" w:customStyle="1" w:styleId="NO">
    <w:name w:val="NO"/>
    <w:basedOn w:val="Normal"/>
    <w:rsid w:val="00CD37A9"/>
    <w:pPr>
      <w:keepLines/>
      <w:ind w:left="1135" w:hanging="851"/>
    </w:pPr>
  </w:style>
  <w:style w:type="paragraph" w:styleId="TOC9">
    <w:name w:val="toc 9"/>
    <w:basedOn w:val="TOC8"/>
    <w:semiHidden/>
    <w:rsid w:val="00CD37A9"/>
    <w:pPr>
      <w:ind w:left="1418" w:hanging="1418"/>
    </w:pPr>
  </w:style>
  <w:style w:type="paragraph" w:customStyle="1" w:styleId="EX">
    <w:name w:val="EX"/>
    <w:basedOn w:val="Normal"/>
    <w:rsid w:val="00CD37A9"/>
    <w:pPr>
      <w:keepLines/>
      <w:ind w:left="1702" w:hanging="1418"/>
    </w:pPr>
  </w:style>
  <w:style w:type="paragraph" w:customStyle="1" w:styleId="FP">
    <w:name w:val="FP"/>
    <w:basedOn w:val="Normal"/>
    <w:rsid w:val="00CD37A9"/>
    <w:pPr>
      <w:spacing w:after="0"/>
    </w:pPr>
  </w:style>
  <w:style w:type="paragraph" w:customStyle="1" w:styleId="LD">
    <w:name w:val="LD"/>
    <w:rsid w:val="00CD37A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D37A9"/>
    <w:pPr>
      <w:spacing w:after="0"/>
    </w:pPr>
  </w:style>
  <w:style w:type="paragraph" w:customStyle="1" w:styleId="EW">
    <w:name w:val="EW"/>
    <w:basedOn w:val="EX"/>
    <w:rsid w:val="00CD37A9"/>
    <w:pPr>
      <w:spacing w:after="0"/>
    </w:pPr>
  </w:style>
  <w:style w:type="paragraph" w:styleId="TOC6">
    <w:name w:val="toc 6"/>
    <w:basedOn w:val="TOC5"/>
    <w:next w:val="Normal"/>
    <w:semiHidden/>
    <w:rsid w:val="00CD37A9"/>
    <w:pPr>
      <w:ind w:left="1985" w:hanging="1985"/>
    </w:pPr>
  </w:style>
  <w:style w:type="paragraph" w:styleId="TOC7">
    <w:name w:val="toc 7"/>
    <w:basedOn w:val="TOC6"/>
    <w:next w:val="Normal"/>
    <w:semiHidden/>
    <w:rsid w:val="00CD37A9"/>
    <w:pPr>
      <w:ind w:left="2268" w:hanging="2268"/>
    </w:pPr>
  </w:style>
  <w:style w:type="paragraph" w:styleId="ListBullet2">
    <w:name w:val="List Bullet 2"/>
    <w:basedOn w:val="ListBullet"/>
    <w:semiHidden/>
    <w:rsid w:val="00CD37A9"/>
    <w:pPr>
      <w:ind w:left="851"/>
    </w:pPr>
  </w:style>
  <w:style w:type="paragraph" w:styleId="ListBullet3">
    <w:name w:val="List Bullet 3"/>
    <w:basedOn w:val="ListBullet2"/>
    <w:semiHidden/>
    <w:rsid w:val="00CD37A9"/>
    <w:pPr>
      <w:ind w:left="1135"/>
    </w:pPr>
  </w:style>
  <w:style w:type="paragraph" w:styleId="ListNumber">
    <w:name w:val="List Number"/>
    <w:basedOn w:val="List"/>
    <w:semiHidden/>
    <w:rsid w:val="00CD37A9"/>
  </w:style>
  <w:style w:type="paragraph" w:customStyle="1" w:styleId="EQ">
    <w:name w:val="EQ"/>
    <w:basedOn w:val="Normal"/>
    <w:next w:val="Normal"/>
    <w:rsid w:val="00CD37A9"/>
    <w:pPr>
      <w:keepLines/>
      <w:tabs>
        <w:tab w:val="center" w:pos="4536"/>
        <w:tab w:val="right" w:pos="9072"/>
      </w:tabs>
    </w:pPr>
    <w:rPr>
      <w:noProof/>
    </w:rPr>
  </w:style>
  <w:style w:type="paragraph" w:customStyle="1" w:styleId="TH">
    <w:name w:val="TH"/>
    <w:basedOn w:val="Normal"/>
    <w:rsid w:val="00CD37A9"/>
    <w:pPr>
      <w:keepNext/>
      <w:keepLines/>
      <w:spacing w:before="60"/>
      <w:jc w:val="center"/>
    </w:pPr>
    <w:rPr>
      <w:rFonts w:ascii="Arial" w:hAnsi="Arial"/>
      <w:b/>
    </w:rPr>
  </w:style>
  <w:style w:type="paragraph" w:customStyle="1" w:styleId="NF">
    <w:name w:val="NF"/>
    <w:basedOn w:val="NO"/>
    <w:rsid w:val="00CD37A9"/>
    <w:pPr>
      <w:keepNext/>
      <w:spacing w:after="0"/>
    </w:pPr>
    <w:rPr>
      <w:rFonts w:ascii="Arial" w:hAnsi="Arial"/>
      <w:sz w:val="18"/>
    </w:rPr>
  </w:style>
  <w:style w:type="paragraph" w:customStyle="1" w:styleId="PL">
    <w:name w:val="PL"/>
    <w:rsid w:val="00CD3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D37A9"/>
    <w:pPr>
      <w:jc w:val="right"/>
    </w:pPr>
  </w:style>
  <w:style w:type="paragraph" w:customStyle="1" w:styleId="H6">
    <w:name w:val="H6"/>
    <w:basedOn w:val="Heading5"/>
    <w:next w:val="Normal"/>
    <w:rsid w:val="00CD37A9"/>
    <w:pPr>
      <w:ind w:left="1985" w:hanging="1985"/>
      <w:outlineLvl w:val="9"/>
    </w:pPr>
    <w:rPr>
      <w:sz w:val="20"/>
    </w:rPr>
  </w:style>
  <w:style w:type="paragraph" w:customStyle="1" w:styleId="TAN">
    <w:name w:val="TAN"/>
    <w:basedOn w:val="TAL"/>
    <w:rsid w:val="00CD37A9"/>
    <w:pPr>
      <w:ind w:left="851" w:hanging="851"/>
    </w:pPr>
  </w:style>
  <w:style w:type="paragraph" w:customStyle="1" w:styleId="TAL">
    <w:name w:val="TAL"/>
    <w:basedOn w:val="Normal"/>
    <w:rsid w:val="00CD37A9"/>
    <w:pPr>
      <w:keepNext/>
      <w:keepLines/>
      <w:spacing w:after="0"/>
    </w:pPr>
    <w:rPr>
      <w:rFonts w:ascii="Arial" w:hAnsi="Arial"/>
      <w:sz w:val="18"/>
    </w:rPr>
  </w:style>
  <w:style w:type="paragraph" w:customStyle="1" w:styleId="ZA">
    <w:name w:val="ZA"/>
    <w:rsid w:val="00CD37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37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37A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D37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37A9"/>
    <w:pPr>
      <w:framePr w:wrap="notBeside" w:y="16161"/>
    </w:pPr>
  </w:style>
  <w:style w:type="character" w:customStyle="1" w:styleId="ZGSM">
    <w:name w:val="ZGSM"/>
    <w:rsid w:val="00CD37A9"/>
  </w:style>
  <w:style w:type="paragraph" w:styleId="List2">
    <w:name w:val="List 2"/>
    <w:basedOn w:val="List"/>
    <w:semiHidden/>
    <w:rsid w:val="00CD37A9"/>
    <w:pPr>
      <w:ind w:left="851"/>
    </w:pPr>
  </w:style>
  <w:style w:type="paragraph" w:customStyle="1" w:styleId="ZG">
    <w:name w:val="ZG"/>
    <w:rsid w:val="00CD37A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D37A9"/>
    <w:pPr>
      <w:ind w:left="1135"/>
    </w:pPr>
  </w:style>
  <w:style w:type="paragraph" w:styleId="List4">
    <w:name w:val="List 4"/>
    <w:basedOn w:val="List3"/>
    <w:semiHidden/>
    <w:rsid w:val="00CD37A9"/>
    <w:pPr>
      <w:ind w:left="1418"/>
    </w:pPr>
  </w:style>
  <w:style w:type="paragraph" w:styleId="List5">
    <w:name w:val="List 5"/>
    <w:basedOn w:val="List4"/>
    <w:semiHidden/>
    <w:rsid w:val="00CD37A9"/>
    <w:pPr>
      <w:ind w:left="1702"/>
    </w:pPr>
  </w:style>
  <w:style w:type="paragraph" w:customStyle="1" w:styleId="EditorsNote">
    <w:name w:val="Editor's Note"/>
    <w:basedOn w:val="NO"/>
    <w:rsid w:val="00CD37A9"/>
    <w:rPr>
      <w:color w:val="FF0000"/>
    </w:rPr>
  </w:style>
  <w:style w:type="paragraph" w:styleId="List">
    <w:name w:val="List"/>
    <w:basedOn w:val="Normal"/>
    <w:semiHidden/>
    <w:rsid w:val="00CD37A9"/>
    <w:pPr>
      <w:ind w:left="568" w:hanging="284"/>
    </w:pPr>
  </w:style>
  <w:style w:type="paragraph" w:styleId="ListBullet">
    <w:name w:val="List Bullet"/>
    <w:basedOn w:val="List"/>
    <w:semiHidden/>
    <w:rsid w:val="00CD37A9"/>
  </w:style>
  <w:style w:type="paragraph" w:styleId="ListBullet4">
    <w:name w:val="List Bullet 4"/>
    <w:basedOn w:val="ListBullet3"/>
    <w:semiHidden/>
    <w:rsid w:val="00CD37A9"/>
    <w:pPr>
      <w:ind w:left="1418"/>
    </w:pPr>
  </w:style>
  <w:style w:type="paragraph" w:styleId="ListBullet5">
    <w:name w:val="List Bullet 5"/>
    <w:basedOn w:val="ListBullet4"/>
    <w:semiHidden/>
    <w:rsid w:val="00CD37A9"/>
    <w:pPr>
      <w:ind w:left="1702"/>
    </w:pPr>
  </w:style>
  <w:style w:type="paragraph" w:customStyle="1" w:styleId="B1">
    <w:name w:val="B1"/>
    <w:basedOn w:val="List"/>
    <w:rsid w:val="00CD37A9"/>
  </w:style>
  <w:style w:type="paragraph" w:customStyle="1" w:styleId="B2">
    <w:name w:val="B2"/>
    <w:basedOn w:val="List2"/>
    <w:rsid w:val="00CD37A9"/>
  </w:style>
  <w:style w:type="paragraph" w:customStyle="1" w:styleId="B3">
    <w:name w:val="B3"/>
    <w:basedOn w:val="List3"/>
    <w:rsid w:val="00CD37A9"/>
  </w:style>
  <w:style w:type="paragraph" w:customStyle="1" w:styleId="B4">
    <w:name w:val="B4"/>
    <w:basedOn w:val="List4"/>
    <w:rsid w:val="00CD37A9"/>
  </w:style>
  <w:style w:type="paragraph" w:customStyle="1" w:styleId="B5">
    <w:name w:val="B5"/>
    <w:basedOn w:val="List5"/>
    <w:rsid w:val="00CD37A9"/>
  </w:style>
  <w:style w:type="paragraph" w:styleId="Footer">
    <w:name w:val="footer"/>
    <w:basedOn w:val="Header"/>
    <w:semiHidden/>
    <w:rsid w:val="00CD37A9"/>
    <w:pPr>
      <w:jc w:val="center"/>
    </w:pPr>
    <w:rPr>
      <w:i/>
    </w:rPr>
  </w:style>
  <w:style w:type="paragraph" w:customStyle="1" w:styleId="ZTD">
    <w:name w:val="ZTD"/>
    <w:basedOn w:val="ZB"/>
    <w:rsid w:val="00CD37A9"/>
    <w:pPr>
      <w:framePr w:hRule="auto" w:wrap="notBeside" w:y="852"/>
    </w:pPr>
    <w:rPr>
      <w:i w:val="0"/>
      <w:sz w:val="40"/>
    </w:rPr>
  </w:style>
  <w:style w:type="character" w:styleId="Strong">
    <w:name w:val="Strong"/>
    <w:uiPriority w:val="22"/>
    <w:qFormat/>
    <w:rsid w:val="00806EAC"/>
    <w:rPr>
      <w:b/>
      <w:bCs/>
    </w:rPr>
  </w:style>
  <w:style w:type="character" w:styleId="BookTitle">
    <w:name w:val="Book Title"/>
    <w:basedOn w:val="DefaultParagraphFont"/>
    <w:uiPriority w:val="33"/>
    <w:qFormat/>
    <w:rsid w:val="00806EAC"/>
    <w:rPr>
      <w:b/>
      <w:bCs/>
      <w:i/>
      <w:iCs/>
      <w:spacing w:val="5"/>
    </w:rPr>
  </w:style>
  <w:style w:type="character" w:styleId="Emphasis">
    <w:name w:val="Emphasis"/>
    <w:basedOn w:val="DefaultParagraphFont"/>
    <w:uiPriority w:val="20"/>
    <w:qFormat/>
    <w:rsid w:val="00806EAC"/>
    <w:rPr>
      <w:i/>
      <w:iCs/>
    </w:rPr>
  </w:style>
  <w:style w:type="character" w:styleId="IntenseReference">
    <w:name w:val="Intense Reference"/>
    <w:basedOn w:val="DefaultParagraphFont"/>
    <w:uiPriority w:val="32"/>
    <w:qFormat/>
    <w:rsid w:val="00806EAC"/>
    <w:rPr>
      <w:b/>
      <w:bCs/>
      <w:smallCaps/>
      <w:color w:val="4472C4" w:themeColor="accent1"/>
      <w:spacing w:val="5"/>
    </w:rPr>
  </w:style>
  <w:style w:type="paragraph" w:styleId="Title">
    <w:name w:val="Title"/>
    <w:basedOn w:val="Normal"/>
    <w:next w:val="Normal"/>
    <w:link w:val="TitleChar"/>
    <w:uiPriority w:val="10"/>
    <w:qFormat/>
    <w:rsid w:val="002B46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4616"/>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2B46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B4616"/>
    <w:rPr>
      <w:rFonts w:asciiTheme="minorHAnsi" w:eastAsiaTheme="minorEastAsia" w:hAnsiTheme="minorHAnsi" w:cstheme="minorBidi"/>
      <w:color w:val="5A5A5A" w:themeColor="text1" w:themeTint="A5"/>
      <w:spacing w:val="15"/>
      <w:sz w:val="22"/>
      <w:szCs w:val="22"/>
      <w:lang w:val="en-GB"/>
    </w:rPr>
  </w:style>
  <w:style w:type="character" w:styleId="PlaceholderText">
    <w:name w:val="Placeholder Text"/>
    <w:basedOn w:val="DefaultParagraphFont"/>
    <w:uiPriority w:val="99"/>
    <w:semiHidden/>
    <w:rsid w:val="00977181"/>
    <w:rPr>
      <w:color w:val="808080"/>
    </w:rPr>
  </w:style>
  <w:style w:type="character" w:styleId="IntenseEmphasis">
    <w:name w:val="Intense Emphasis"/>
    <w:basedOn w:val="DefaultParagraphFont"/>
    <w:uiPriority w:val="21"/>
    <w:qFormat/>
    <w:rsid w:val="004F4239"/>
    <w:rPr>
      <w:i/>
      <w:iCs/>
      <w:color w:val="4472C4" w:themeColor="accent1"/>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2349E6"/>
    <w:pPr>
      <w:ind w:left="720"/>
      <w:contextualSpacing/>
    </w:p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rsid w:val="007D57E3"/>
    <w:rPr>
      <w:rFonts w:ascii="Times New Roman" w:hAnsi="Times New Roman"/>
      <w:lang w:val="en-GB"/>
    </w:rPr>
  </w:style>
  <w:style w:type="paragraph" w:styleId="Caption">
    <w:name w:val="caption"/>
    <w:basedOn w:val="Normal"/>
    <w:next w:val="Normal"/>
    <w:uiPriority w:val="35"/>
    <w:unhideWhenUsed/>
    <w:qFormat/>
    <w:rsid w:val="008051F8"/>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3E36C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36C9"/>
    <w:rPr>
      <w:rFonts w:ascii="Segoe UI" w:hAnsi="Segoe UI" w:cs="Segoe UI"/>
      <w:sz w:val="18"/>
      <w:szCs w:val="18"/>
      <w:lang w:val="en-GB"/>
    </w:rPr>
  </w:style>
  <w:style w:type="table" w:styleId="TableGrid">
    <w:name w:val="Table Grid"/>
    <w:basedOn w:val="TableNormal"/>
    <w:uiPriority w:val="39"/>
    <w:rsid w:val="00D05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doc\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73DDD-1A53-4189-A1F1-0D20EA441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11938</TotalTime>
  <Pages>6</Pages>
  <Words>1792</Words>
  <Characters>10218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Luca Blessent</dc:creator>
  <cp:keywords>ESA, style sheet, Winword</cp:keywords>
  <dc:description/>
  <cp:lastModifiedBy>Luca Blessent</cp:lastModifiedBy>
  <cp:revision>315</cp:revision>
  <cp:lastPrinted>1900-01-01T05:00:00Z</cp:lastPrinted>
  <dcterms:created xsi:type="dcterms:W3CDTF">2019-08-14T14:40:00Z</dcterms:created>
  <dcterms:modified xsi:type="dcterms:W3CDTF">2020-08-07T23:58:00Z</dcterms:modified>
</cp:coreProperties>
</file>